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599A" w:rsidR="00A7296E" w:rsidP="000A3C8E" w:rsidRDefault="6581A1AC" w14:paraId="1A89C276" w14:textId="3359D50E">
      <w:pPr>
        <w:pStyle w:val="NoSpacing"/>
        <w:jc w:val="center"/>
        <w:rPr>
          <w:rFonts w:cs="Arial"/>
          <w:b/>
          <w:bCs/>
          <w:sz w:val="24"/>
          <w:szCs w:val="24"/>
        </w:rPr>
      </w:pPr>
      <w:r w:rsidRPr="6581A1AC">
        <w:rPr>
          <w:rFonts w:cs="Arial"/>
          <w:b/>
          <w:bCs/>
          <w:sz w:val="24"/>
          <w:szCs w:val="24"/>
        </w:rPr>
        <w:t>Florida Real Property and Business Litigation Report</w:t>
      </w:r>
    </w:p>
    <w:p w:rsidR="00A7296E" w:rsidP="000A3C8E" w:rsidRDefault="00A7296E" w14:paraId="3CFA35AC" w14:textId="2A041FC2">
      <w:pPr>
        <w:pStyle w:val="NoSpacing"/>
        <w:jc w:val="center"/>
        <w:rPr>
          <w:rFonts w:cs="Arial"/>
          <w:b/>
          <w:bCs/>
          <w:sz w:val="24"/>
          <w:szCs w:val="24"/>
        </w:rPr>
      </w:pPr>
      <w:r w:rsidRPr="0063599A">
        <w:rPr>
          <w:rFonts w:cs="Arial"/>
          <w:b/>
          <w:bCs/>
          <w:sz w:val="24"/>
          <w:szCs w:val="24"/>
        </w:rPr>
        <w:t>Manuel Farach</w:t>
      </w:r>
    </w:p>
    <w:p w:rsidR="00647205" w:rsidP="000A3C8E" w:rsidRDefault="00647205" w14:paraId="58EB6444" w14:textId="77777777">
      <w:pPr>
        <w:pStyle w:val="NoSpacing"/>
        <w:jc w:val="center"/>
        <w:rPr>
          <w:rFonts w:cs="Arial"/>
          <w:b/>
          <w:bCs/>
          <w:sz w:val="24"/>
          <w:szCs w:val="24"/>
        </w:rPr>
      </w:pPr>
    </w:p>
    <w:p w:rsidRPr="00E25526" w:rsidR="006F0B5F" w:rsidP="006F0B5F" w:rsidRDefault="006F0B5F" w14:paraId="09C1C2E1" w14:textId="77777777">
      <w:pPr>
        <w:pStyle w:val="NoSpacing"/>
        <w:jc w:val="both"/>
        <w:rPr>
          <w:sz w:val="24"/>
          <w:szCs w:val="24"/>
        </w:rPr>
      </w:pPr>
      <w:r w:rsidRPr="00FD6A1A">
        <w:rPr>
          <w:b/>
          <w:bCs/>
          <w:sz w:val="24"/>
          <w:szCs w:val="24"/>
        </w:rPr>
        <w:t>Olivier v. City of Brandon</w:t>
      </w:r>
      <w:r w:rsidRPr="00E25526">
        <w:rPr>
          <w:sz w:val="24"/>
          <w:szCs w:val="24"/>
        </w:rPr>
        <w:t>, Case No. 24-993 (2026).</w:t>
      </w:r>
    </w:p>
    <w:p w:rsidRPr="00E25526" w:rsidR="006F0B5F" w:rsidP="006F0B5F" w:rsidRDefault="006F0B5F" w14:paraId="695DF9F8" w14:textId="77777777">
      <w:pPr>
        <w:pStyle w:val="NoSpacing"/>
        <w:jc w:val="both"/>
        <w:rPr>
          <w:sz w:val="24"/>
          <w:szCs w:val="24"/>
        </w:rPr>
      </w:pPr>
      <w:r w:rsidRPr="00E25526">
        <w:rPr>
          <w:sz w:val="24"/>
          <w:szCs w:val="24"/>
        </w:rPr>
        <w:t xml:space="preserve">​A plaintiff previously convicted under a municipal ordinance may bring a 42 U.S.C. § 1983 action seeking purely prospective declaratory and injunctive relief challenging the ordinance’s constitutionality without running afoul of </w:t>
      </w:r>
      <w:r w:rsidRPr="00FD6A1A">
        <w:rPr>
          <w:i/>
          <w:iCs/>
          <w:sz w:val="24"/>
          <w:szCs w:val="24"/>
        </w:rPr>
        <w:t>Heck v. Humphrey</w:t>
      </w:r>
      <w:r>
        <w:rPr>
          <w:i/>
          <w:iCs/>
          <w:sz w:val="24"/>
          <w:szCs w:val="24"/>
        </w:rPr>
        <w:t xml:space="preserve"> </w:t>
      </w:r>
      <w:r w:rsidRPr="00E25526">
        <w:rPr>
          <w:sz w:val="24"/>
          <w:szCs w:val="24"/>
        </w:rPr>
        <w:t>because such relief does not necessarily imply the invalidity of the prior conviction.</w:t>
      </w:r>
    </w:p>
    <w:p w:rsidR="006F0B5F" w:rsidP="009A3513" w:rsidRDefault="006F0B5F" w14:paraId="4C00B3C5" w14:textId="77777777">
      <w:pPr>
        <w:pStyle w:val="NoSpacing"/>
        <w:jc w:val="both"/>
        <w:rPr>
          <w:b/>
          <w:bCs/>
          <w:sz w:val="24"/>
          <w:szCs w:val="24"/>
        </w:rPr>
      </w:pPr>
    </w:p>
    <w:p w:rsidRPr="00325F36" w:rsidR="006F0B5F" w:rsidP="006F0B5F" w:rsidRDefault="006F0B5F" w14:paraId="0ADC85E6" w14:textId="77777777">
      <w:pPr>
        <w:pStyle w:val="NoSpacing"/>
        <w:jc w:val="both"/>
        <w:rPr>
          <w:sz w:val="24"/>
          <w:szCs w:val="24"/>
        </w:rPr>
      </w:pPr>
      <w:r w:rsidRPr="00325F36">
        <w:rPr>
          <w:b/>
          <w:bCs/>
          <w:sz w:val="24"/>
          <w:szCs w:val="24"/>
        </w:rPr>
        <w:t>Cox Communications, Inc. v. Sony Music Entertainment</w:t>
      </w:r>
      <w:r w:rsidRPr="00325F36">
        <w:rPr>
          <w:sz w:val="24"/>
          <w:szCs w:val="24"/>
        </w:rPr>
        <w:t>, Case No. 24-171 (2026).</w:t>
      </w:r>
    </w:p>
    <w:p w:rsidR="006F0B5F" w:rsidP="006F0B5F" w:rsidRDefault="006F0B5F" w14:paraId="49098F23" w14:textId="77777777">
      <w:pPr>
        <w:pStyle w:val="NoSpacing"/>
        <w:jc w:val="both"/>
        <w:rPr>
          <w:sz w:val="24"/>
          <w:szCs w:val="24"/>
        </w:rPr>
      </w:pPr>
      <w:r>
        <w:rPr>
          <w:sz w:val="24"/>
          <w:szCs w:val="24"/>
        </w:rPr>
        <w:t>A</w:t>
      </w:r>
      <w:r w:rsidRPr="00325F36">
        <w:rPr>
          <w:sz w:val="24"/>
          <w:szCs w:val="24"/>
        </w:rPr>
        <w:t>n internet service provider is not contributorily liable for its subscribers' copyright infringement merely because it had knowledge that its service was being used by some subscribers to infringe</w:t>
      </w:r>
      <w:r>
        <w:rPr>
          <w:sz w:val="24"/>
          <w:szCs w:val="24"/>
        </w:rPr>
        <w:t xml:space="preserve"> as c</w:t>
      </w:r>
      <w:r w:rsidRPr="00325F36">
        <w:rPr>
          <w:sz w:val="24"/>
          <w:szCs w:val="24"/>
        </w:rPr>
        <w:t xml:space="preserve">ontributory </w:t>
      </w:r>
      <w:r>
        <w:rPr>
          <w:sz w:val="24"/>
          <w:szCs w:val="24"/>
        </w:rPr>
        <w:t xml:space="preserve">copyright </w:t>
      </w:r>
      <w:r w:rsidRPr="00325F36">
        <w:rPr>
          <w:sz w:val="24"/>
          <w:szCs w:val="24"/>
        </w:rPr>
        <w:t xml:space="preserve">liability requires proof that the provider either affirmatively induced the infringement or provided a service tailored </w:t>
      </w:r>
      <w:r>
        <w:rPr>
          <w:sz w:val="24"/>
          <w:szCs w:val="24"/>
        </w:rPr>
        <w:t>for</w:t>
      </w:r>
      <w:r w:rsidRPr="00325F36">
        <w:rPr>
          <w:sz w:val="24"/>
          <w:szCs w:val="24"/>
        </w:rPr>
        <w:t xml:space="preserve"> infringement</w:t>
      </w:r>
      <w:r>
        <w:rPr>
          <w:sz w:val="24"/>
          <w:szCs w:val="24"/>
        </w:rPr>
        <w:t>.</w:t>
      </w:r>
    </w:p>
    <w:p w:rsidR="006F0B5F" w:rsidP="009A3513" w:rsidRDefault="006F0B5F" w14:paraId="38F45146" w14:textId="77777777">
      <w:pPr>
        <w:pStyle w:val="NoSpacing"/>
        <w:jc w:val="both"/>
        <w:rPr>
          <w:b/>
          <w:bCs/>
          <w:sz w:val="24"/>
          <w:szCs w:val="24"/>
        </w:rPr>
      </w:pPr>
    </w:p>
    <w:p w:rsidRPr="00CC7C80" w:rsidR="009A3513" w:rsidP="009A3513" w:rsidRDefault="009A3513" w14:paraId="61DD4BB3" w14:textId="0EC50F9A">
      <w:pPr>
        <w:pStyle w:val="NoSpacing"/>
        <w:jc w:val="both"/>
        <w:rPr>
          <w:sz w:val="24"/>
          <w:szCs w:val="24"/>
        </w:rPr>
      </w:pPr>
      <w:r w:rsidRPr="00CC7C80">
        <w:rPr>
          <w:b/>
          <w:bCs/>
          <w:sz w:val="24"/>
          <w:szCs w:val="24"/>
        </w:rPr>
        <w:t>Beazer v. Richmond County Constructors, LLC</w:t>
      </w:r>
      <w:r w:rsidRPr="00CC7C80">
        <w:rPr>
          <w:sz w:val="24"/>
          <w:szCs w:val="24"/>
        </w:rPr>
        <w:t xml:space="preserve">, </w:t>
      </w:r>
      <w:r>
        <w:rPr>
          <w:sz w:val="24"/>
          <w:szCs w:val="24"/>
        </w:rPr>
        <w:t xml:space="preserve">Case </w:t>
      </w:r>
      <w:r w:rsidRPr="00CC7C80">
        <w:rPr>
          <w:sz w:val="24"/>
          <w:szCs w:val="24"/>
        </w:rPr>
        <w:t>No. 24-11734 (11th Cir. 2026)</w:t>
      </w:r>
      <w:r>
        <w:rPr>
          <w:sz w:val="24"/>
          <w:szCs w:val="24"/>
        </w:rPr>
        <w:t>.</w:t>
      </w:r>
    </w:p>
    <w:p w:rsidRPr="00CC7C80" w:rsidR="009A3513" w:rsidP="009A3513" w:rsidRDefault="009A3513" w14:paraId="01ADF83C" w14:textId="77777777">
      <w:pPr>
        <w:pStyle w:val="NoSpacing"/>
        <w:jc w:val="both"/>
        <w:rPr>
          <w:sz w:val="24"/>
          <w:szCs w:val="24"/>
        </w:rPr>
      </w:pPr>
      <w:r w:rsidRPr="00CC7C80">
        <w:rPr>
          <w:sz w:val="24"/>
          <w:szCs w:val="24"/>
        </w:rPr>
        <w:t xml:space="preserve">Equitable tolling of Title VII’s ninety-day filing period applies when a </w:t>
      </w:r>
      <w:r>
        <w:rPr>
          <w:sz w:val="24"/>
          <w:szCs w:val="24"/>
        </w:rPr>
        <w:t xml:space="preserve">pro se </w:t>
      </w:r>
      <w:r w:rsidRPr="00CC7C80">
        <w:rPr>
          <w:sz w:val="24"/>
          <w:szCs w:val="24"/>
        </w:rPr>
        <w:t>plaintiff diligently attempts to secure counsel</w:t>
      </w:r>
      <w:r>
        <w:rPr>
          <w:sz w:val="24"/>
          <w:szCs w:val="24"/>
        </w:rPr>
        <w:t xml:space="preserve">, </w:t>
      </w:r>
      <w:r w:rsidRPr="00CC7C80">
        <w:rPr>
          <w:sz w:val="24"/>
          <w:szCs w:val="24"/>
        </w:rPr>
        <w:t xml:space="preserve">and </w:t>
      </w:r>
      <w:r>
        <w:rPr>
          <w:sz w:val="24"/>
          <w:szCs w:val="24"/>
        </w:rPr>
        <w:t xml:space="preserve">being unable to do so, </w:t>
      </w:r>
      <w:r w:rsidRPr="00CC7C80">
        <w:rPr>
          <w:sz w:val="24"/>
          <w:szCs w:val="24"/>
        </w:rPr>
        <w:t xml:space="preserve">then timely mails </w:t>
      </w:r>
      <w:r>
        <w:rPr>
          <w:sz w:val="24"/>
          <w:szCs w:val="24"/>
        </w:rPr>
        <w:t>his</w:t>
      </w:r>
      <w:r w:rsidRPr="00CC7C80">
        <w:rPr>
          <w:sz w:val="24"/>
          <w:szCs w:val="24"/>
        </w:rPr>
        <w:t xml:space="preserve"> pro se complaint by guaranteed overnight delivery</w:t>
      </w:r>
      <w:r>
        <w:rPr>
          <w:sz w:val="24"/>
          <w:szCs w:val="24"/>
        </w:rPr>
        <w:t xml:space="preserve"> </w:t>
      </w:r>
      <w:r w:rsidRPr="00CC7C80">
        <w:rPr>
          <w:sz w:val="24"/>
          <w:szCs w:val="24"/>
        </w:rPr>
        <w:t xml:space="preserve">but </w:t>
      </w:r>
      <w:r>
        <w:rPr>
          <w:sz w:val="24"/>
          <w:szCs w:val="24"/>
        </w:rPr>
        <w:t xml:space="preserve">misses the statutory filing deadline due to </w:t>
      </w:r>
      <w:r w:rsidRPr="00CC7C80">
        <w:rPr>
          <w:sz w:val="24"/>
          <w:szCs w:val="24"/>
        </w:rPr>
        <w:t xml:space="preserve">a confluence of prior counsel’s delay and hurricane-related disruption </w:t>
      </w:r>
      <w:r>
        <w:rPr>
          <w:sz w:val="24"/>
          <w:szCs w:val="24"/>
        </w:rPr>
        <w:t>delivery delays.</w:t>
      </w:r>
    </w:p>
    <w:p w:rsidR="009A3513" w:rsidP="003419E4" w:rsidRDefault="009A3513" w14:paraId="37F11EA4" w14:textId="77777777">
      <w:pPr>
        <w:pStyle w:val="NoSpacing"/>
        <w:jc w:val="both"/>
        <w:rPr>
          <w:b/>
          <w:bCs/>
          <w:sz w:val="24"/>
          <w:szCs w:val="24"/>
        </w:rPr>
      </w:pPr>
    </w:p>
    <w:p w:rsidR="009A3513" w:rsidP="009A3513" w:rsidRDefault="009A3513" w14:paraId="2F25B06F" w14:textId="77777777">
      <w:pPr>
        <w:pStyle w:val="NoSpacing"/>
        <w:jc w:val="both"/>
        <w:rPr>
          <w:sz w:val="24"/>
          <w:szCs w:val="24"/>
        </w:rPr>
      </w:pPr>
      <w:r w:rsidRPr="00CC7C80">
        <w:rPr>
          <w:b/>
          <w:bCs/>
          <w:sz w:val="24"/>
          <w:szCs w:val="24"/>
        </w:rPr>
        <w:t>In re Amendments to Florida Rule of Appellate Procedure 9.710</w:t>
      </w:r>
      <w:r w:rsidRPr="00CC7C80">
        <w:rPr>
          <w:sz w:val="24"/>
          <w:szCs w:val="24"/>
        </w:rPr>
        <w:t>, No. SC2025-1415 (Fla. 2026)</w:t>
      </w:r>
      <w:r>
        <w:rPr>
          <w:sz w:val="24"/>
          <w:szCs w:val="24"/>
        </w:rPr>
        <w:t>.</w:t>
      </w:r>
    </w:p>
    <w:p w:rsidRPr="00CC7C80" w:rsidR="009A3513" w:rsidP="009A3513" w:rsidRDefault="009A3513" w14:paraId="53EE6B7D" w14:textId="77777777">
      <w:pPr>
        <w:pStyle w:val="NoSpacing"/>
        <w:jc w:val="both"/>
        <w:rPr>
          <w:sz w:val="24"/>
          <w:szCs w:val="24"/>
        </w:rPr>
      </w:pPr>
      <w:r w:rsidRPr="00CC7C80">
        <w:rPr>
          <w:sz w:val="24"/>
          <w:szCs w:val="24"/>
        </w:rPr>
        <w:t xml:space="preserve">Florida Rule of Appellate Procedure 9.710(b) </w:t>
      </w:r>
      <w:r>
        <w:rPr>
          <w:sz w:val="24"/>
          <w:szCs w:val="24"/>
        </w:rPr>
        <w:t>is amended to remove the categorial bar excluding p</w:t>
      </w:r>
      <w:r w:rsidRPr="00CC7C80">
        <w:rPr>
          <w:sz w:val="24"/>
          <w:szCs w:val="24"/>
        </w:rPr>
        <w:t xml:space="preserve">etitions filed under </w:t>
      </w:r>
      <w:r>
        <w:rPr>
          <w:sz w:val="24"/>
          <w:szCs w:val="24"/>
        </w:rPr>
        <w:t>Florida R</w:t>
      </w:r>
      <w:r w:rsidRPr="00CC7C80">
        <w:rPr>
          <w:sz w:val="24"/>
          <w:szCs w:val="24"/>
        </w:rPr>
        <w:t xml:space="preserve">ule 9.100(c)(2) </w:t>
      </w:r>
      <w:r>
        <w:rPr>
          <w:sz w:val="24"/>
          <w:szCs w:val="24"/>
        </w:rPr>
        <w:t>from</w:t>
      </w:r>
      <w:r w:rsidRPr="00CC7C80">
        <w:rPr>
          <w:sz w:val="24"/>
          <w:szCs w:val="24"/>
        </w:rPr>
        <w:t xml:space="preserve"> appellate mediation</w:t>
      </w:r>
      <w:r>
        <w:rPr>
          <w:sz w:val="24"/>
          <w:szCs w:val="24"/>
        </w:rPr>
        <w:t xml:space="preserve">. </w:t>
      </w:r>
    </w:p>
    <w:p w:rsidR="009A3513" w:rsidP="003419E4" w:rsidRDefault="009A3513" w14:paraId="6217F0AA" w14:textId="77777777">
      <w:pPr>
        <w:pStyle w:val="NoSpacing"/>
        <w:jc w:val="both"/>
        <w:rPr>
          <w:b/>
          <w:bCs/>
          <w:sz w:val="24"/>
          <w:szCs w:val="24"/>
        </w:rPr>
      </w:pPr>
    </w:p>
    <w:p w:rsidRPr="00E25526" w:rsidR="006F0B5F" w:rsidP="006F0B5F" w:rsidRDefault="006F0B5F" w14:paraId="75DC9E83" w14:textId="77777777">
      <w:pPr>
        <w:pStyle w:val="NoSpacing"/>
        <w:jc w:val="both"/>
        <w:rPr>
          <w:sz w:val="24"/>
          <w:szCs w:val="24"/>
        </w:rPr>
      </w:pPr>
      <w:r w:rsidRPr="00FD6A1A">
        <w:rPr>
          <w:b/>
          <w:bCs/>
          <w:sz w:val="24"/>
          <w:szCs w:val="24"/>
        </w:rPr>
        <w:t>In re Amendments to Florida Rules of Appellate Procedure</w:t>
      </w:r>
      <w:r w:rsidRPr="00E25526">
        <w:rPr>
          <w:sz w:val="24"/>
          <w:szCs w:val="24"/>
        </w:rPr>
        <w:t>, Case No. SC2025-1458 (Fla. 2026).</w:t>
      </w:r>
    </w:p>
    <w:p w:rsidRPr="00E25526" w:rsidR="006F0B5F" w:rsidP="006F0B5F" w:rsidRDefault="006F0B5F" w14:paraId="2BB9F8CF" w14:textId="77777777">
      <w:pPr>
        <w:pStyle w:val="NoSpacing"/>
        <w:jc w:val="both"/>
        <w:rPr>
          <w:sz w:val="24"/>
          <w:szCs w:val="24"/>
        </w:rPr>
      </w:pPr>
      <w:r w:rsidRPr="00E25526">
        <w:rPr>
          <w:sz w:val="24"/>
          <w:szCs w:val="24"/>
        </w:rPr>
        <w:t>​Amendments to Florida Rules of Appellate Procedure 9.020, 9.045, 9.200, and 9.420 conform the appellate rules to recent changes in the Florida Rules of General Practice and Judicial Administration, including removal of outdated e-filing docket references, updated paper-filing requirements, and revised provisions governing filing and service.</w:t>
      </w:r>
    </w:p>
    <w:p w:rsidRPr="00E25526" w:rsidR="006F0B5F" w:rsidP="006F0B5F" w:rsidRDefault="006F0B5F" w14:paraId="188AE25C" w14:textId="77777777">
      <w:pPr>
        <w:pStyle w:val="NoSpacing"/>
        <w:jc w:val="both"/>
        <w:rPr>
          <w:sz w:val="24"/>
          <w:szCs w:val="24"/>
        </w:rPr>
      </w:pPr>
      <w:r w:rsidRPr="00E25526">
        <w:rPr>
          <w:sz w:val="24"/>
          <w:szCs w:val="24"/>
        </w:rPr>
        <w:t>​</w:t>
      </w:r>
    </w:p>
    <w:p w:rsidRPr="00E25526" w:rsidR="006F0B5F" w:rsidP="006F0B5F" w:rsidRDefault="006F0B5F" w14:paraId="231AB000" w14:textId="77777777">
      <w:pPr>
        <w:pStyle w:val="NoSpacing"/>
        <w:jc w:val="both"/>
        <w:rPr>
          <w:sz w:val="24"/>
          <w:szCs w:val="24"/>
        </w:rPr>
      </w:pPr>
      <w:r w:rsidRPr="00FD6A1A">
        <w:rPr>
          <w:b/>
          <w:bCs/>
          <w:sz w:val="24"/>
          <w:szCs w:val="24"/>
        </w:rPr>
        <w:t>In re Amendments to Rules Regulating the Florida Bar – Professionalism Expectations</w:t>
      </w:r>
      <w:r w:rsidRPr="00E25526">
        <w:rPr>
          <w:sz w:val="24"/>
          <w:szCs w:val="24"/>
        </w:rPr>
        <w:t>, Case No. SC2025-1347 (Fla. 2026).</w:t>
      </w:r>
    </w:p>
    <w:p w:rsidRPr="00E25526" w:rsidR="006F0B5F" w:rsidP="006F0B5F" w:rsidRDefault="006F0B5F" w14:paraId="51DEBBE7" w14:textId="77777777">
      <w:pPr>
        <w:pStyle w:val="NoSpacing"/>
        <w:jc w:val="both"/>
        <w:rPr>
          <w:sz w:val="24"/>
          <w:szCs w:val="24"/>
        </w:rPr>
      </w:pPr>
      <w:r w:rsidRPr="00E25526">
        <w:rPr>
          <w:sz w:val="24"/>
          <w:szCs w:val="24"/>
        </w:rPr>
        <w:t>​Amendments to The Florida Bar’s Professionalism Expectations revise several expectations on billing, client communication, discovery practice, deposition conduct, criticism of participants in the justice system, and supervision of support personnel to provide clearer and more precise behavioral standards for lawyers.</w:t>
      </w:r>
    </w:p>
    <w:p w:rsidR="006F0B5F" w:rsidP="003419E4" w:rsidRDefault="006F0B5F" w14:paraId="4404D205" w14:textId="77777777">
      <w:pPr>
        <w:pStyle w:val="NoSpacing"/>
        <w:jc w:val="both"/>
        <w:rPr>
          <w:b/>
          <w:bCs/>
          <w:sz w:val="24"/>
          <w:szCs w:val="24"/>
        </w:rPr>
      </w:pPr>
    </w:p>
    <w:p w:rsidR="003419E4" w:rsidP="003419E4" w:rsidRDefault="003419E4" w14:paraId="1C17F803" w14:textId="68DB66D4">
      <w:pPr>
        <w:pStyle w:val="NoSpacing"/>
        <w:jc w:val="both"/>
        <w:rPr>
          <w:sz w:val="24"/>
          <w:szCs w:val="24"/>
        </w:rPr>
      </w:pPr>
      <w:r w:rsidRPr="003614F6">
        <w:rPr>
          <w:b/>
          <w:bCs/>
          <w:sz w:val="24"/>
          <w:szCs w:val="24"/>
        </w:rPr>
        <w:t>City of Tampa v. Liberty Hospitality Management, LLC</w:t>
      </w:r>
      <w:r w:rsidRPr="003614F6">
        <w:rPr>
          <w:sz w:val="24"/>
          <w:szCs w:val="24"/>
        </w:rPr>
        <w:t xml:space="preserve">, Case No. 2D2024-2082 (Fla. 2d DCA 2026). </w:t>
      </w:r>
    </w:p>
    <w:p w:rsidRPr="003614F6" w:rsidR="003419E4" w:rsidP="003419E4" w:rsidRDefault="003419E4" w14:paraId="2D1ABF78" w14:textId="15052788">
      <w:pPr>
        <w:pStyle w:val="NoSpacing"/>
        <w:jc w:val="both"/>
        <w:rPr>
          <w:sz w:val="24"/>
          <w:szCs w:val="24"/>
        </w:rPr>
      </w:pPr>
      <w:r w:rsidRPr="003614F6">
        <w:rPr>
          <w:sz w:val="24"/>
          <w:szCs w:val="24"/>
        </w:rPr>
        <w:t>Florida's constitutional separation of powers clause</w:t>
      </w:r>
      <w:r>
        <w:rPr>
          <w:sz w:val="24"/>
          <w:szCs w:val="24"/>
        </w:rPr>
        <w:t xml:space="preserve"> found in A</w:t>
      </w:r>
      <w:r w:rsidRPr="003614F6">
        <w:rPr>
          <w:sz w:val="24"/>
          <w:szCs w:val="24"/>
        </w:rPr>
        <w:t xml:space="preserve">rticle II, </w:t>
      </w:r>
      <w:r>
        <w:rPr>
          <w:sz w:val="24"/>
          <w:szCs w:val="24"/>
        </w:rPr>
        <w:t>S</w:t>
      </w:r>
      <w:r w:rsidRPr="003614F6">
        <w:rPr>
          <w:sz w:val="24"/>
          <w:szCs w:val="24"/>
        </w:rPr>
        <w:t xml:space="preserve">ection 3, does not apply to municipalities, and a city council's site-specific rezoning decision constitutes a </w:t>
      </w:r>
      <w:r w:rsidRPr="003614F6">
        <w:rPr>
          <w:sz w:val="24"/>
          <w:szCs w:val="24"/>
        </w:rPr>
        <w:lastRenderedPageBreak/>
        <w:t>quasi-judicial action</w:t>
      </w:r>
      <w:r>
        <w:rPr>
          <w:sz w:val="24"/>
          <w:szCs w:val="24"/>
        </w:rPr>
        <w:t xml:space="preserve"> </w:t>
      </w:r>
      <w:r w:rsidRPr="003614F6">
        <w:rPr>
          <w:sz w:val="24"/>
          <w:szCs w:val="24"/>
        </w:rPr>
        <w:t xml:space="preserve">derived from the municipality's broad home rule powers under </w:t>
      </w:r>
      <w:r>
        <w:rPr>
          <w:sz w:val="24"/>
          <w:szCs w:val="24"/>
        </w:rPr>
        <w:t>A</w:t>
      </w:r>
      <w:r w:rsidRPr="003614F6">
        <w:rPr>
          <w:sz w:val="24"/>
          <w:szCs w:val="24"/>
        </w:rPr>
        <w:t xml:space="preserve">rticle VIII, </w:t>
      </w:r>
      <w:r>
        <w:rPr>
          <w:sz w:val="24"/>
          <w:szCs w:val="24"/>
        </w:rPr>
        <w:t>S</w:t>
      </w:r>
      <w:r w:rsidRPr="003614F6">
        <w:rPr>
          <w:sz w:val="24"/>
          <w:szCs w:val="24"/>
        </w:rPr>
        <w:t>ection 2(b)</w:t>
      </w:r>
      <w:r>
        <w:rPr>
          <w:sz w:val="24"/>
          <w:szCs w:val="24"/>
        </w:rPr>
        <w:t xml:space="preserve"> which</w:t>
      </w:r>
      <w:r w:rsidRPr="003614F6">
        <w:rPr>
          <w:sz w:val="24"/>
          <w:szCs w:val="24"/>
        </w:rPr>
        <w:t xml:space="preserve"> is reviewable by certiorari in the circuit </w:t>
      </w:r>
      <w:r w:rsidRPr="003614F6" w:rsidR="003E2B92">
        <w:rPr>
          <w:sz w:val="24"/>
          <w:szCs w:val="24"/>
        </w:rPr>
        <w:t>court.</w:t>
      </w:r>
    </w:p>
    <w:p w:rsidRPr="003614F6" w:rsidR="003419E4" w:rsidP="003419E4" w:rsidRDefault="003419E4" w14:paraId="76301DC1" w14:textId="77777777">
      <w:pPr>
        <w:pStyle w:val="NoSpacing"/>
        <w:jc w:val="both"/>
        <w:rPr>
          <w:sz w:val="24"/>
          <w:szCs w:val="24"/>
        </w:rPr>
      </w:pPr>
    </w:p>
    <w:p w:rsidR="003419E4" w:rsidP="003419E4" w:rsidRDefault="003419E4" w14:paraId="2EF27A0A" w14:textId="4993D528">
      <w:pPr>
        <w:pStyle w:val="NoSpacing"/>
        <w:jc w:val="both"/>
        <w:rPr>
          <w:sz w:val="24"/>
          <w:szCs w:val="24"/>
        </w:rPr>
      </w:pPr>
      <w:r w:rsidRPr="003614F6">
        <w:rPr>
          <w:b/>
          <w:bCs/>
          <w:sz w:val="24"/>
          <w:szCs w:val="24"/>
        </w:rPr>
        <w:t>Pons Torres v. AP Air Conditioning Corp.,</w:t>
      </w:r>
      <w:r w:rsidRPr="003614F6">
        <w:rPr>
          <w:sz w:val="24"/>
          <w:szCs w:val="24"/>
        </w:rPr>
        <w:t xml:space="preserve"> Case No. 3D24-1802 (</w:t>
      </w:r>
      <w:r w:rsidRPr="003614F6" w:rsidR="003E2B92">
        <w:rPr>
          <w:sz w:val="24"/>
          <w:szCs w:val="24"/>
        </w:rPr>
        <w:t>Fla.</w:t>
      </w:r>
      <w:r w:rsidRPr="003614F6">
        <w:rPr>
          <w:sz w:val="24"/>
          <w:szCs w:val="24"/>
        </w:rPr>
        <w:t xml:space="preserve"> 3d DCA 2026).</w:t>
      </w:r>
    </w:p>
    <w:p w:rsidRPr="003614F6" w:rsidR="003419E4" w:rsidP="003419E4" w:rsidRDefault="003419E4" w14:paraId="72984552" w14:textId="77777777">
      <w:pPr>
        <w:pStyle w:val="NoSpacing"/>
        <w:jc w:val="both"/>
        <w:rPr>
          <w:sz w:val="24"/>
          <w:szCs w:val="24"/>
        </w:rPr>
      </w:pPr>
      <w:r w:rsidRPr="003614F6">
        <w:rPr>
          <w:sz w:val="24"/>
          <w:szCs w:val="24"/>
        </w:rPr>
        <w:t>A trial court may not enter final summary judgment in favor of a nonmovant without notice and a proper motion under Florida Rule of Civil Procedure 1.510(c)(6)</w:t>
      </w:r>
      <w:r>
        <w:rPr>
          <w:sz w:val="24"/>
          <w:szCs w:val="24"/>
        </w:rPr>
        <w:t xml:space="preserve">. </w:t>
      </w:r>
    </w:p>
    <w:p w:rsidR="003419E4" w:rsidP="003419E4" w:rsidRDefault="003419E4" w14:paraId="56A85EBD" w14:textId="77777777">
      <w:pPr>
        <w:pStyle w:val="NoSpacing"/>
        <w:jc w:val="both"/>
        <w:rPr>
          <w:sz w:val="24"/>
          <w:szCs w:val="24"/>
        </w:rPr>
      </w:pPr>
      <w:r w:rsidRPr="003614F6">
        <w:rPr>
          <w:sz w:val="24"/>
          <w:szCs w:val="24"/>
        </w:rPr>
        <w:t>​</w:t>
      </w:r>
    </w:p>
    <w:p w:rsidR="003419E4" w:rsidP="003419E4" w:rsidRDefault="003419E4" w14:paraId="0E7712B6" w14:textId="2AEA6067">
      <w:pPr>
        <w:pStyle w:val="NoSpacing"/>
        <w:jc w:val="both"/>
        <w:rPr>
          <w:sz w:val="24"/>
          <w:szCs w:val="24"/>
        </w:rPr>
      </w:pPr>
      <w:r w:rsidRPr="003614F6">
        <w:rPr>
          <w:b/>
          <w:bCs/>
          <w:sz w:val="24"/>
          <w:szCs w:val="24"/>
        </w:rPr>
        <w:t>Wolfson v. Pardes</w:t>
      </w:r>
      <w:r w:rsidRPr="003614F6">
        <w:rPr>
          <w:sz w:val="24"/>
          <w:szCs w:val="24"/>
        </w:rPr>
        <w:t>, Case No. 3D25-2509 (Fla. 3d DCA 2026).</w:t>
      </w:r>
    </w:p>
    <w:p w:rsidRPr="003614F6" w:rsidR="003419E4" w:rsidP="003419E4" w:rsidRDefault="003419E4" w14:paraId="09158698" w14:textId="77777777">
      <w:pPr>
        <w:pStyle w:val="NoSpacing"/>
        <w:jc w:val="both"/>
        <w:rPr>
          <w:sz w:val="24"/>
          <w:szCs w:val="24"/>
        </w:rPr>
      </w:pPr>
      <w:r w:rsidRPr="003614F6">
        <w:rPr>
          <w:sz w:val="24"/>
          <w:szCs w:val="24"/>
        </w:rPr>
        <w:t>A civil contempt order imposing incarceration as a coercive sanction must include an affirmative finding that the contemnor possesses the present ability to comply with the purge conditions and must afford a reasonable time to purge, and the absence of such findings requires that the order and corresponding writ of bodily attachment be quashed.</w:t>
      </w:r>
    </w:p>
    <w:p w:rsidRPr="003614F6" w:rsidR="003419E4" w:rsidP="003419E4" w:rsidRDefault="003419E4" w14:paraId="19D92AB8" w14:textId="77777777">
      <w:pPr>
        <w:pStyle w:val="NoSpacing"/>
        <w:jc w:val="both"/>
        <w:rPr>
          <w:sz w:val="24"/>
          <w:szCs w:val="24"/>
        </w:rPr>
      </w:pPr>
      <w:r w:rsidRPr="003614F6">
        <w:rPr>
          <w:sz w:val="24"/>
          <w:szCs w:val="24"/>
        </w:rPr>
        <w:t>​</w:t>
      </w:r>
    </w:p>
    <w:p w:rsidR="003419E4" w:rsidP="003419E4" w:rsidRDefault="003419E4" w14:paraId="6C9C15AD" w14:textId="7C8126EE">
      <w:pPr>
        <w:pStyle w:val="NoSpacing"/>
        <w:jc w:val="both"/>
        <w:rPr>
          <w:sz w:val="24"/>
          <w:szCs w:val="24"/>
        </w:rPr>
      </w:pPr>
      <w:r w:rsidRPr="003614F6">
        <w:rPr>
          <w:b/>
          <w:bCs/>
          <w:sz w:val="24"/>
          <w:szCs w:val="24"/>
        </w:rPr>
        <w:t>Bankers Life &amp; Casualty Co. v. Borew</w:t>
      </w:r>
      <w:r w:rsidRPr="003614F6">
        <w:rPr>
          <w:sz w:val="24"/>
          <w:szCs w:val="24"/>
        </w:rPr>
        <w:t>, Case No. 4D2024-1296 (Fla. 4th DCA 2026).</w:t>
      </w:r>
    </w:p>
    <w:p w:rsidRPr="003614F6" w:rsidR="003419E4" w:rsidP="003419E4" w:rsidRDefault="003419E4" w14:paraId="3AF88C8D" w14:textId="61510E23">
      <w:pPr>
        <w:pStyle w:val="NoSpacing"/>
        <w:jc w:val="both"/>
        <w:rPr>
          <w:sz w:val="24"/>
          <w:szCs w:val="24"/>
        </w:rPr>
      </w:pPr>
      <w:r w:rsidRPr="003614F6">
        <w:rPr>
          <w:sz w:val="24"/>
          <w:szCs w:val="24"/>
        </w:rPr>
        <w:t xml:space="preserve">A </w:t>
      </w:r>
      <w:r w:rsidRPr="003614F6" w:rsidR="003E2B92">
        <w:rPr>
          <w:sz w:val="24"/>
          <w:szCs w:val="24"/>
        </w:rPr>
        <w:t>contingency</w:t>
      </w:r>
      <w:r w:rsidRPr="003614F6">
        <w:rPr>
          <w:sz w:val="24"/>
          <w:szCs w:val="24"/>
        </w:rPr>
        <w:t xml:space="preserve"> fee multiplier may not be applied to a lodestar fee award absent record evidence that the relevant market required such enhancement to obtain competent counsel, and a court-awarded hourly rate may not exceed the rate expressly agreed upon in the parties' retainer agreement where that agreement contains no alternative fee recovery clause.​</w:t>
      </w:r>
    </w:p>
    <w:p w:rsidRPr="003614F6" w:rsidR="003419E4" w:rsidP="003419E4" w:rsidRDefault="003419E4" w14:paraId="6C34DD0E" w14:textId="77777777">
      <w:pPr>
        <w:pStyle w:val="NoSpacing"/>
        <w:jc w:val="both"/>
        <w:rPr>
          <w:sz w:val="24"/>
          <w:szCs w:val="24"/>
        </w:rPr>
      </w:pPr>
    </w:p>
    <w:p w:rsidR="003419E4" w:rsidP="003419E4" w:rsidRDefault="003419E4" w14:paraId="43114823" w14:textId="7B590D6A">
      <w:pPr>
        <w:pStyle w:val="NoSpacing"/>
        <w:jc w:val="both"/>
        <w:rPr>
          <w:sz w:val="24"/>
          <w:szCs w:val="24"/>
        </w:rPr>
      </w:pPr>
      <w:r w:rsidRPr="003614F6">
        <w:rPr>
          <w:b/>
          <w:bCs/>
          <w:sz w:val="24"/>
          <w:szCs w:val="24"/>
        </w:rPr>
        <w:t>Sudbury v. Konsker</w:t>
      </w:r>
      <w:r w:rsidRPr="003614F6">
        <w:rPr>
          <w:sz w:val="24"/>
          <w:szCs w:val="24"/>
        </w:rPr>
        <w:t>, Case No. 4D2025-1181</w:t>
      </w:r>
      <w:r w:rsidR="009621D3">
        <w:rPr>
          <w:sz w:val="24"/>
          <w:szCs w:val="24"/>
        </w:rPr>
        <w:t xml:space="preserve"> and </w:t>
      </w:r>
      <w:r w:rsidRPr="003614F6">
        <w:rPr>
          <w:b/>
          <w:bCs/>
          <w:sz w:val="24"/>
          <w:szCs w:val="24"/>
        </w:rPr>
        <w:t>Unified Women's Healthcare, LP v. Konsker</w:t>
      </w:r>
      <w:r w:rsidRPr="003614F6">
        <w:rPr>
          <w:sz w:val="24"/>
          <w:szCs w:val="24"/>
        </w:rPr>
        <w:t xml:space="preserve">, Case No. 4D2025-1182 (Fla. 4th DCA 2026) (consolidated). </w:t>
      </w:r>
    </w:p>
    <w:p w:rsidRPr="003614F6" w:rsidR="003419E4" w:rsidP="003419E4" w:rsidRDefault="003419E4" w14:paraId="4548BEE0" w14:textId="77777777">
      <w:pPr>
        <w:pStyle w:val="NoSpacing"/>
        <w:jc w:val="both"/>
        <w:rPr>
          <w:sz w:val="24"/>
          <w:szCs w:val="24"/>
        </w:rPr>
      </w:pPr>
      <w:r>
        <w:rPr>
          <w:sz w:val="24"/>
          <w:szCs w:val="24"/>
        </w:rPr>
        <w:t xml:space="preserve">A </w:t>
      </w:r>
      <w:r w:rsidRPr="003614F6">
        <w:rPr>
          <w:sz w:val="24"/>
          <w:szCs w:val="24"/>
        </w:rPr>
        <w:t xml:space="preserve">signatory to an asset purchase agreement that expressly incorporates a management services agreement is bound by the arbitration clause contained therein; and </w:t>
      </w:r>
      <w:r>
        <w:rPr>
          <w:sz w:val="24"/>
          <w:szCs w:val="24"/>
        </w:rPr>
        <w:t>different a</w:t>
      </w:r>
      <w:r w:rsidRPr="003614F6">
        <w:rPr>
          <w:sz w:val="24"/>
          <w:szCs w:val="24"/>
        </w:rPr>
        <w:t>rbitration clauses in related agreements are not rendered fatally ambiguous merely because they designate different administering bodies</w:t>
      </w:r>
      <w:r>
        <w:rPr>
          <w:sz w:val="24"/>
          <w:szCs w:val="24"/>
        </w:rPr>
        <w:t xml:space="preserve"> if</w:t>
      </w:r>
      <w:r w:rsidRPr="003614F6">
        <w:rPr>
          <w:sz w:val="24"/>
          <w:szCs w:val="24"/>
        </w:rPr>
        <w:t xml:space="preserve"> no material irreconcilable conflict between the respective arbitration rules has been identified</w:t>
      </w:r>
      <w:r>
        <w:rPr>
          <w:sz w:val="24"/>
          <w:szCs w:val="24"/>
        </w:rPr>
        <w:t>.</w:t>
      </w:r>
    </w:p>
    <w:p w:rsidR="006F0B5F" w:rsidP="009A3513" w:rsidRDefault="006F0B5F" w14:paraId="039E9AD1" w14:textId="77777777">
      <w:pPr>
        <w:pStyle w:val="NoSpacing"/>
        <w:jc w:val="both"/>
        <w:rPr>
          <w:b/>
          <w:bCs/>
          <w:sz w:val="24"/>
          <w:szCs w:val="24"/>
        </w:rPr>
      </w:pPr>
    </w:p>
    <w:p w:rsidR="009A3513" w:rsidP="009A3513" w:rsidRDefault="009A3513" w14:paraId="056C90B1" w14:textId="51FD75D7">
      <w:pPr>
        <w:pStyle w:val="NoSpacing"/>
        <w:jc w:val="both"/>
        <w:rPr>
          <w:sz w:val="24"/>
          <w:szCs w:val="24"/>
        </w:rPr>
      </w:pPr>
      <w:r w:rsidRPr="00CC7C80">
        <w:rPr>
          <w:b/>
          <w:bCs/>
          <w:sz w:val="24"/>
          <w:szCs w:val="24"/>
        </w:rPr>
        <w:t>Puleo v. Cohen</w:t>
      </w:r>
      <w:r w:rsidRPr="00CC7C80">
        <w:rPr>
          <w:sz w:val="24"/>
          <w:szCs w:val="24"/>
        </w:rPr>
        <w:t>, No. 3D24-0586 (Fla. 3d DCA 2026)</w:t>
      </w:r>
      <w:r>
        <w:rPr>
          <w:sz w:val="24"/>
          <w:szCs w:val="24"/>
        </w:rPr>
        <w:t>.</w:t>
      </w:r>
    </w:p>
    <w:p w:rsidRPr="00CC7C80" w:rsidR="009A3513" w:rsidP="009A3513" w:rsidRDefault="009A3513" w14:paraId="222B7774" w14:textId="77777777">
      <w:pPr>
        <w:pStyle w:val="NoSpacing"/>
        <w:jc w:val="both"/>
        <w:rPr>
          <w:sz w:val="24"/>
          <w:szCs w:val="24"/>
        </w:rPr>
      </w:pPr>
      <w:r w:rsidRPr="00CC7C80">
        <w:rPr>
          <w:sz w:val="24"/>
          <w:szCs w:val="24"/>
        </w:rPr>
        <w:t>Florida law requires only reliance</w:t>
      </w:r>
      <w:r>
        <w:rPr>
          <w:sz w:val="24"/>
          <w:szCs w:val="24"/>
        </w:rPr>
        <w:t xml:space="preserve"> (n</w:t>
      </w:r>
      <w:r w:rsidRPr="00CC7C80">
        <w:rPr>
          <w:sz w:val="24"/>
          <w:szCs w:val="24"/>
        </w:rPr>
        <w:t>ot justifiable relianc</w:t>
      </w:r>
      <w:r>
        <w:rPr>
          <w:sz w:val="24"/>
          <w:szCs w:val="24"/>
        </w:rPr>
        <w:t xml:space="preserve">e) for misrepresentation claims thus summary judgment against </w:t>
      </w:r>
      <w:r w:rsidRPr="00CC7C80">
        <w:rPr>
          <w:sz w:val="24"/>
          <w:szCs w:val="24"/>
        </w:rPr>
        <w:t xml:space="preserve">a seller </w:t>
      </w:r>
      <w:r>
        <w:rPr>
          <w:sz w:val="24"/>
          <w:szCs w:val="24"/>
        </w:rPr>
        <w:t xml:space="preserve">is improper when there is </w:t>
      </w:r>
      <w:r w:rsidRPr="00CC7C80">
        <w:rPr>
          <w:sz w:val="24"/>
          <w:szCs w:val="24"/>
        </w:rPr>
        <w:t xml:space="preserve">record evidence </w:t>
      </w:r>
      <w:r>
        <w:rPr>
          <w:sz w:val="24"/>
          <w:szCs w:val="24"/>
        </w:rPr>
        <w:t xml:space="preserve">sufficient to </w:t>
      </w:r>
      <w:r w:rsidRPr="00CC7C80">
        <w:rPr>
          <w:sz w:val="24"/>
          <w:szCs w:val="24"/>
        </w:rPr>
        <w:t>create jury issues on reliance, materiality, and damages</w:t>
      </w:r>
      <w:r>
        <w:rPr>
          <w:sz w:val="24"/>
          <w:szCs w:val="24"/>
        </w:rPr>
        <w:t xml:space="preserve"> that the seller relied on misrepresentations </w:t>
      </w:r>
      <w:r w:rsidRPr="00CC7C80">
        <w:rPr>
          <w:sz w:val="24"/>
          <w:szCs w:val="24"/>
        </w:rPr>
        <w:t>about the true buyer’s identity and intended use of residential property</w:t>
      </w:r>
      <w:r>
        <w:rPr>
          <w:sz w:val="24"/>
          <w:szCs w:val="24"/>
        </w:rPr>
        <w:t>.</w:t>
      </w:r>
    </w:p>
    <w:p w:rsidRPr="00CC7C80" w:rsidR="009A3513" w:rsidP="009A3513" w:rsidRDefault="009A3513" w14:paraId="7892515D" w14:textId="77777777">
      <w:pPr>
        <w:pStyle w:val="NoSpacing"/>
        <w:jc w:val="both"/>
        <w:rPr>
          <w:sz w:val="24"/>
          <w:szCs w:val="24"/>
        </w:rPr>
      </w:pPr>
      <w:r w:rsidRPr="00CC7C80">
        <w:rPr>
          <w:sz w:val="24"/>
          <w:szCs w:val="24"/>
        </w:rPr>
        <w:t>​</w:t>
      </w:r>
    </w:p>
    <w:p w:rsidR="009A3513" w:rsidP="009A3513" w:rsidRDefault="009A3513" w14:paraId="20484DC7" w14:textId="77777777">
      <w:pPr>
        <w:pStyle w:val="NoSpacing"/>
        <w:jc w:val="both"/>
        <w:rPr>
          <w:sz w:val="24"/>
          <w:szCs w:val="24"/>
        </w:rPr>
      </w:pPr>
      <w:r w:rsidRPr="00CC7C80">
        <w:rPr>
          <w:b/>
          <w:bCs/>
          <w:sz w:val="24"/>
          <w:szCs w:val="24"/>
        </w:rPr>
        <w:t>CBRE, Inc. v. DidierGroup, LLC</w:t>
      </w:r>
      <w:r w:rsidRPr="00CC7C80">
        <w:rPr>
          <w:sz w:val="24"/>
          <w:szCs w:val="24"/>
        </w:rPr>
        <w:t>, No. 6D2023-3011 (Fla. 6th DCA 2026)</w:t>
      </w:r>
      <w:r>
        <w:rPr>
          <w:sz w:val="24"/>
          <w:szCs w:val="24"/>
        </w:rPr>
        <w:t>.</w:t>
      </w:r>
    </w:p>
    <w:p w:rsidR="009A3513" w:rsidP="009A3513" w:rsidRDefault="009A3513" w14:paraId="7B3960B6" w14:textId="111A0E51">
      <w:pPr>
        <w:pStyle w:val="NoSpacing"/>
        <w:jc w:val="both"/>
        <w:rPr>
          <w:sz w:val="24"/>
          <w:szCs w:val="24"/>
        </w:rPr>
      </w:pPr>
      <w:r>
        <w:rPr>
          <w:sz w:val="24"/>
          <w:szCs w:val="24"/>
        </w:rPr>
        <w:t>S</w:t>
      </w:r>
      <w:r w:rsidRPr="00CC7C80">
        <w:rPr>
          <w:sz w:val="24"/>
          <w:szCs w:val="24"/>
        </w:rPr>
        <w:t>o as to prevent duplicate recovery</w:t>
      </w:r>
      <w:r>
        <w:rPr>
          <w:sz w:val="24"/>
          <w:szCs w:val="24"/>
        </w:rPr>
        <w:t>, a</w:t>
      </w:r>
      <w:r w:rsidRPr="00CC7C80">
        <w:rPr>
          <w:sz w:val="24"/>
          <w:szCs w:val="24"/>
        </w:rPr>
        <w:t xml:space="preserve"> non</w:t>
      </w:r>
      <w:r>
        <w:rPr>
          <w:sz w:val="24"/>
          <w:szCs w:val="24"/>
        </w:rPr>
        <w:t>-</w:t>
      </w:r>
      <w:r w:rsidRPr="00CC7C80">
        <w:rPr>
          <w:sz w:val="24"/>
          <w:szCs w:val="24"/>
        </w:rPr>
        <w:t>settling defendant is entitled to a setoff under Florida Statutes</w:t>
      </w:r>
      <w:r>
        <w:rPr>
          <w:sz w:val="24"/>
          <w:szCs w:val="24"/>
        </w:rPr>
        <w:t xml:space="preserve"> </w:t>
      </w:r>
      <w:r w:rsidRPr="00CC7C80">
        <w:rPr>
          <w:sz w:val="24"/>
          <w:szCs w:val="24"/>
        </w:rPr>
        <w:t>sections 46.015(2) and 768.041(2)</w:t>
      </w:r>
      <w:r>
        <w:rPr>
          <w:sz w:val="24"/>
          <w:szCs w:val="24"/>
        </w:rPr>
        <w:t xml:space="preserve"> </w:t>
      </w:r>
      <w:r w:rsidRPr="00CC7C80">
        <w:rPr>
          <w:sz w:val="24"/>
          <w:szCs w:val="24"/>
        </w:rPr>
        <w:t xml:space="preserve">when </w:t>
      </w:r>
      <w:r>
        <w:rPr>
          <w:sz w:val="24"/>
          <w:szCs w:val="24"/>
        </w:rPr>
        <w:t xml:space="preserve">the </w:t>
      </w:r>
      <w:r w:rsidRPr="00CC7C80">
        <w:rPr>
          <w:sz w:val="24"/>
          <w:szCs w:val="24"/>
        </w:rPr>
        <w:t>settling co-defendant previously paid the plaintiff for the same “identical” damages sought against the non</w:t>
      </w:r>
      <w:r>
        <w:rPr>
          <w:sz w:val="24"/>
          <w:szCs w:val="24"/>
        </w:rPr>
        <w:t>-</w:t>
      </w:r>
      <w:r w:rsidRPr="00CC7C80">
        <w:rPr>
          <w:sz w:val="24"/>
          <w:szCs w:val="24"/>
        </w:rPr>
        <w:t>settling defendant</w:t>
      </w:r>
      <w:r w:rsidR="006F0B5F">
        <w:rPr>
          <w:sz w:val="24"/>
          <w:szCs w:val="24"/>
        </w:rPr>
        <w:t>.</w:t>
      </w:r>
    </w:p>
    <w:p w:rsidR="006F0B5F" w:rsidP="009A3513" w:rsidRDefault="006F0B5F" w14:paraId="428FBFE1" w14:textId="77777777">
      <w:pPr>
        <w:pStyle w:val="NoSpacing"/>
        <w:jc w:val="both"/>
        <w:rPr>
          <w:sz w:val="24"/>
          <w:szCs w:val="24"/>
        </w:rPr>
      </w:pPr>
    </w:p>
    <w:p w:rsidRPr="00E25526" w:rsidR="006F0B5F" w:rsidP="006F0B5F" w:rsidRDefault="006F0B5F" w14:paraId="0440706C" w14:textId="337C39A8">
      <w:pPr>
        <w:pStyle w:val="NoSpacing"/>
        <w:jc w:val="both"/>
        <w:rPr>
          <w:sz w:val="24"/>
          <w:szCs w:val="24"/>
        </w:rPr>
      </w:pPr>
      <w:r w:rsidRPr="00E25526">
        <w:rPr>
          <w:sz w:val="24"/>
          <w:szCs w:val="24"/>
        </w:rPr>
        <w:t>​​</w:t>
      </w:r>
      <w:r w:rsidRPr="006F0B5F">
        <w:rPr>
          <w:b/>
          <w:bCs/>
          <w:sz w:val="24"/>
          <w:szCs w:val="24"/>
        </w:rPr>
        <w:t xml:space="preserve"> </w:t>
      </w:r>
      <w:r w:rsidRPr="00FD6A1A">
        <w:rPr>
          <w:b/>
          <w:bCs/>
          <w:sz w:val="24"/>
          <w:szCs w:val="24"/>
        </w:rPr>
        <w:t>Gacek v. Avalon Dunes Condominium Owners Association, Inc.</w:t>
      </w:r>
      <w:r w:rsidRPr="00E25526">
        <w:rPr>
          <w:sz w:val="24"/>
          <w:szCs w:val="24"/>
        </w:rPr>
        <w:t>, Case No. 1D2024-1029 (Fla. 1st DCA 2026).</w:t>
      </w:r>
    </w:p>
    <w:p w:rsidRPr="00E25526" w:rsidR="006F0B5F" w:rsidP="006F0B5F" w:rsidRDefault="006F0B5F" w14:paraId="3615B1D4" w14:textId="77777777">
      <w:pPr>
        <w:pStyle w:val="NoSpacing"/>
        <w:jc w:val="both"/>
        <w:rPr>
          <w:sz w:val="24"/>
          <w:szCs w:val="24"/>
        </w:rPr>
      </w:pPr>
      <w:r w:rsidRPr="00E25526">
        <w:rPr>
          <w:sz w:val="24"/>
          <w:szCs w:val="24"/>
        </w:rPr>
        <w:t>​An action for malicious prosecution requires that the entire underlying proceeding, not merely one claim within it, terminate in favor of the plaintiff</w:t>
      </w:r>
      <w:r>
        <w:rPr>
          <w:sz w:val="24"/>
          <w:szCs w:val="24"/>
        </w:rPr>
        <w:t xml:space="preserve"> </w:t>
      </w:r>
      <w:r w:rsidRPr="00E25526">
        <w:rPr>
          <w:sz w:val="24"/>
          <w:szCs w:val="24"/>
        </w:rPr>
        <w:t>so a party who prevails on one claim but loses others in the same suit does not satisfy the favorable-termination element.</w:t>
      </w:r>
    </w:p>
    <w:p w:rsidRPr="00E25526" w:rsidR="006F0B5F" w:rsidP="006F0B5F" w:rsidRDefault="006F0B5F" w14:paraId="1F927004" w14:textId="0FDECB77">
      <w:pPr>
        <w:pStyle w:val="NoSpacing"/>
        <w:jc w:val="both"/>
        <w:rPr>
          <w:sz w:val="24"/>
          <w:szCs w:val="24"/>
        </w:rPr>
      </w:pPr>
      <w:r w:rsidRPr="00E25526">
        <w:rPr>
          <w:sz w:val="24"/>
          <w:szCs w:val="24"/>
        </w:rPr>
        <w:lastRenderedPageBreak/>
        <w:t>​</w:t>
      </w:r>
      <w:r w:rsidRPr="00FD6A1A">
        <w:rPr>
          <w:b/>
          <w:bCs/>
          <w:sz w:val="24"/>
          <w:szCs w:val="24"/>
        </w:rPr>
        <w:t>State of Florida ex rel. Chertok v. Zillow, Inc.</w:t>
      </w:r>
      <w:r w:rsidRPr="00E25526">
        <w:rPr>
          <w:sz w:val="24"/>
          <w:szCs w:val="24"/>
        </w:rPr>
        <w:t>, Case No. 1D2024-2804 (Fla. 1st DCA 2026).</w:t>
      </w:r>
    </w:p>
    <w:p w:rsidRPr="00E25526" w:rsidR="006F0B5F" w:rsidP="006F0B5F" w:rsidRDefault="006F0B5F" w14:paraId="5F0E0719" w14:textId="77777777">
      <w:pPr>
        <w:pStyle w:val="NoSpacing"/>
        <w:jc w:val="both"/>
        <w:rPr>
          <w:sz w:val="24"/>
          <w:szCs w:val="24"/>
        </w:rPr>
      </w:pPr>
      <w:r w:rsidRPr="00E25526">
        <w:rPr>
          <w:sz w:val="24"/>
          <w:szCs w:val="24"/>
        </w:rPr>
        <w:t>A relator cannot establish liability under the Florida False Claims Act and Florida Disposition of Unclaimed Property Act when the alleged “unclaimed” property is not owed under the asserted instrument, is not presumed unclaimed due to ongoing communications, is not deliverable to Florida based on the owners’ non-Florida residency at the relevant times, and the owners’ actions negate any presumption of abandonment.</w:t>
      </w:r>
    </w:p>
    <w:p w:rsidRPr="00E25526" w:rsidR="006F0B5F" w:rsidP="006F0B5F" w:rsidRDefault="006F0B5F" w14:paraId="383328DE" w14:textId="77777777">
      <w:pPr>
        <w:pStyle w:val="NoSpacing"/>
        <w:jc w:val="both"/>
        <w:rPr>
          <w:sz w:val="24"/>
          <w:szCs w:val="24"/>
        </w:rPr>
      </w:pPr>
    </w:p>
    <w:p w:rsidRPr="00E25526" w:rsidR="006F0B5F" w:rsidP="006F0B5F" w:rsidRDefault="006F0B5F" w14:paraId="1DB39DE0" w14:textId="77777777">
      <w:pPr>
        <w:pStyle w:val="NoSpacing"/>
        <w:jc w:val="both"/>
        <w:rPr>
          <w:sz w:val="24"/>
          <w:szCs w:val="24"/>
        </w:rPr>
      </w:pPr>
      <w:r w:rsidRPr="00FD6A1A">
        <w:rPr>
          <w:b/>
          <w:bCs/>
          <w:sz w:val="24"/>
          <w:szCs w:val="24"/>
        </w:rPr>
        <w:t>Aaraya Public Adjusting, LLC v. Crucial Claims, Inc.</w:t>
      </w:r>
      <w:r w:rsidRPr="00E25526">
        <w:rPr>
          <w:sz w:val="24"/>
          <w:szCs w:val="24"/>
        </w:rPr>
        <w:t>, Case No. 2D2025-2119 (Fla. 2d DCA 2026).</w:t>
      </w:r>
    </w:p>
    <w:p w:rsidRPr="00E25526" w:rsidR="006F0B5F" w:rsidP="006F0B5F" w:rsidRDefault="006F0B5F" w14:paraId="686DFC97" w14:textId="77777777">
      <w:pPr>
        <w:pStyle w:val="NoSpacing"/>
        <w:jc w:val="both"/>
        <w:rPr>
          <w:sz w:val="24"/>
          <w:szCs w:val="24"/>
        </w:rPr>
      </w:pPr>
      <w:r w:rsidRPr="00E25526">
        <w:rPr>
          <w:sz w:val="24"/>
          <w:szCs w:val="24"/>
        </w:rPr>
        <w:t>​Untimely objections to discovery requests may result in waiver of non-privilege objections and permit an order compelling production of otherwise discoverable financial information</w:t>
      </w:r>
      <w:r>
        <w:rPr>
          <w:sz w:val="24"/>
          <w:szCs w:val="24"/>
        </w:rPr>
        <w:t xml:space="preserve"> </w:t>
      </w:r>
      <w:r w:rsidRPr="00E25526">
        <w:rPr>
          <w:sz w:val="24"/>
          <w:szCs w:val="24"/>
        </w:rPr>
        <w:t xml:space="preserve">but an untimely response does not waive attorney–client privilege, and </w:t>
      </w:r>
      <w:r>
        <w:rPr>
          <w:sz w:val="24"/>
          <w:szCs w:val="24"/>
        </w:rPr>
        <w:t>a</w:t>
      </w:r>
      <w:r w:rsidRPr="00E25526">
        <w:rPr>
          <w:sz w:val="24"/>
          <w:szCs w:val="24"/>
        </w:rPr>
        <w:t xml:space="preserve"> trial court must consider privilege claims</w:t>
      </w:r>
      <w:r>
        <w:rPr>
          <w:sz w:val="24"/>
          <w:szCs w:val="24"/>
        </w:rPr>
        <w:t>,</w:t>
      </w:r>
      <w:r w:rsidRPr="00E25526">
        <w:rPr>
          <w:sz w:val="24"/>
          <w:szCs w:val="24"/>
        </w:rPr>
        <w:t xml:space="preserve"> and</w:t>
      </w:r>
      <w:r>
        <w:rPr>
          <w:sz w:val="24"/>
          <w:szCs w:val="24"/>
        </w:rPr>
        <w:t xml:space="preserve"> </w:t>
      </w:r>
      <w:r w:rsidRPr="00E25526">
        <w:rPr>
          <w:sz w:val="24"/>
          <w:szCs w:val="24"/>
        </w:rPr>
        <w:t>where appropriate, conduct an in camera review before compelling production of arguably privileged materials.</w:t>
      </w:r>
    </w:p>
    <w:p w:rsidRPr="00E25526" w:rsidR="006F0B5F" w:rsidP="006F0B5F" w:rsidRDefault="006F0B5F" w14:paraId="5E801CB9" w14:textId="77777777">
      <w:pPr>
        <w:pStyle w:val="NoSpacing"/>
        <w:jc w:val="both"/>
        <w:rPr>
          <w:sz w:val="24"/>
          <w:szCs w:val="24"/>
        </w:rPr>
      </w:pPr>
      <w:r w:rsidRPr="00E25526">
        <w:rPr>
          <w:sz w:val="24"/>
          <w:szCs w:val="24"/>
        </w:rPr>
        <w:t>​</w:t>
      </w:r>
    </w:p>
    <w:p w:rsidRPr="00E25526" w:rsidR="006F0B5F" w:rsidP="006F0B5F" w:rsidRDefault="006F0B5F" w14:paraId="73DAC650" w14:textId="77777777">
      <w:pPr>
        <w:pStyle w:val="NoSpacing"/>
        <w:jc w:val="both"/>
        <w:rPr>
          <w:sz w:val="24"/>
          <w:szCs w:val="24"/>
        </w:rPr>
      </w:pPr>
      <w:r w:rsidRPr="00736F23">
        <w:rPr>
          <w:b/>
          <w:bCs/>
          <w:sz w:val="24"/>
          <w:szCs w:val="24"/>
        </w:rPr>
        <w:t>First Horizon Bank v. Hayworth</w:t>
      </w:r>
      <w:r w:rsidRPr="00E25526">
        <w:rPr>
          <w:sz w:val="24"/>
          <w:szCs w:val="24"/>
        </w:rPr>
        <w:t>, Case No. 3D25-2468 (Fla. 3d DCA 2026).</w:t>
      </w:r>
    </w:p>
    <w:p w:rsidRPr="00E25526" w:rsidR="006F0B5F" w:rsidP="006F0B5F" w:rsidRDefault="006F0B5F" w14:paraId="2AF6D47D" w14:textId="77777777">
      <w:pPr>
        <w:pStyle w:val="NoSpacing"/>
        <w:jc w:val="both"/>
        <w:rPr>
          <w:sz w:val="24"/>
          <w:szCs w:val="24"/>
        </w:rPr>
      </w:pPr>
      <w:r>
        <w:rPr>
          <w:sz w:val="24"/>
          <w:szCs w:val="24"/>
        </w:rPr>
        <w:t>A</w:t>
      </w:r>
      <w:r w:rsidRPr="00E25526">
        <w:rPr>
          <w:sz w:val="24"/>
          <w:szCs w:val="24"/>
        </w:rPr>
        <w:t>bsent a timely rehearing motion, appeal, or relief under Florida Rule of Civil Procedure 1.540</w:t>
      </w:r>
      <w:r>
        <w:rPr>
          <w:sz w:val="24"/>
          <w:szCs w:val="24"/>
        </w:rPr>
        <w:t>, a</w:t>
      </w:r>
      <w:r w:rsidRPr="00E25526">
        <w:rPr>
          <w:sz w:val="24"/>
          <w:szCs w:val="24"/>
        </w:rPr>
        <w:t xml:space="preserve"> trial court lacks case jurisdiction to entertain a new amended complaint after entry of a final summary judgment that fully adjudicates the operative claims</w:t>
      </w:r>
      <w:r>
        <w:rPr>
          <w:sz w:val="24"/>
          <w:szCs w:val="24"/>
        </w:rPr>
        <w:t>.</w:t>
      </w:r>
    </w:p>
    <w:p w:rsidRPr="00E25526" w:rsidR="006F0B5F" w:rsidP="006F0B5F" w:rsidRDefault="006F0B5F" w14:paraId="5A4288C4" w14:textId="77777777">
      <w:pPr>
        <w:pStyle w:val="NoSpacing"/>
        <w:jc w:val="both"/>
        <w:rPr>
          <w:sz w:val="24"/>
          <w:szCs w:val="24"/>
        </w:rPr>
      </w:pPr>
    </w:p>
    <w:p w:rsidRPr="00E25526" w:rsidR="006F0B5F" w:rsidP="006F0B5F" w:rsidRDefault="006F0B5F" w14:paraId="45859A60" w14:textId="77777777">
      <w:pPr>
        <w:pStyle w:val="NoSpacing"/>
        <w:jc w:val="both"/>
        <w:rPr>
          <w:sz w:val="24"/>
          <w:szCs w:val="24"/>
        </w:rPr>
      </w:pPr>
      <w:r w:rsidRPr="00736F23">
        <w:rPr>
          <w:b/>
          <w:bCs/>
          <w:sz w:val="24"/>
          <w:szCs w:val="24"/>
        </w:rPr>
        <w:t>BBurgett, LLC v. Benfam Holdings, LLC</w:t>
      </w:r>
      <w:r w:rsidRPr="00E25526">
        <w:rPr>
          <w:sz w:val="24"/>
          <w:szCs w:val="24"/>
        </w:rPr>
        <w:t>, Case No. 6D2025-0157 (Fla. 6th DCA 2026).</w:t>
      </w:r>
    </w:p>
    <w:p w:rsidRPr="00E25526" w:rsidR="006F0B5F" w:rsidP="006F0B5F" w:rsidRDefault="006F0B5F" w14:paraId="3180202E" w14:textId="77777777">
      <w:pPr>
        <w:pStyle w:val="NoSpacing"/>
        <w:jc w:val="both"/>
        <w:rPr>
          <w:sz w:val="24"/>
          <w:szCs w:val="24"/>
        </w:rPr>
      </w:pPr>
      <w:r w:rsidRPr="00736F23">
        <w:rPr>
          <w:sz w:val="24"/>
          <w:szCs w:val="24"/>
        </w:rPr>
        <w:t>https://flcourts-media.flcourts.gov/content/download/2486385/opinion/Opinion_2025-0157.pdf</w:t>
      </w:r>
    </w:p>
    <w:p w:rsidRPr="00E25526" w:rsidR="006F0B5F" w:rsidP="006F0B5F" w:rsidRDefault="006F0B5F" w14:paraId="1B5F4D3E" w14:textId="77777777">
      <w:pPr>
        <w:pStyle w:val="NoSpacing"/>
        <w:jc w:val="both"/>
        <w:rPr>
          <w:sz w:val="24"/>
          <w:szCs w:val="24"/>
        </w:rPr>
      </w:pPr>
      <w:r w:rsidRPr="00E25526">
        <w:rPr>
          <w:sz w:val="24"/>
          <w:szCs w:val="24"/>
        </w:rPr>
        <w:t>​Florida Rule of Civil Procedure 1.510(a) requires the trial court to state on the record its specific reasons for granting or denying a motion for summary judgment, and a conclusory statement that there is or is not a genuine dispute as to a material fact does not satisfy this requirement.</w:t>
      </w:r>
    </w:p>
    <w:p w:rsidRPr="00E25526" w:rsidR="006F0B5F" w:rsidP="006F0B5F" w:rsidRDefault="006F0B5F" w14:paraId="322316C5" w14:textId="77777777">
      <w:pPr>
        <w:pStyle w:val="NoSpacing"/>
        <w:jc w:val="both"/>
        <w:rPr>
          <w:sz w:val="24"/>
          <w:szCs w:val="24"/>
        </w:rPr>
      </w:pPr>
      <w:r w:rsidRPr="00E25526">
        <w:rPr>
          <w:sz w:val="24"/>
          <w:szCs w:val="24"/>
        </w:rPr>
        <w:t>​</w:t>
      </w:r>
    </w:p>
    <w:p w:rsidRPr="00E25526" w:rsidR="006F0B5F" w:rsidP="006F0B5F" w:rsidRDefault="006F0B5F" w14:paraId="072D55D7" w14:textId="77777777">
      <w:pPr>
        <w:pStyle w:val="NoSpacing"/>
        <w:jc w:val="both"/>
        <w:rPr>
          <w:sz w:val="24"/>
          <w:szCs w:val="24"/>
        </w:rPr>
      </w:pPr>
      <w:r w:rsidRPr="00E25526">
        <w:rPr>
          <w:sz w:val="24"/>
          <w:szCs w:val="24"/>
        </w:rPr>
        <w:t>​</w:t>
      </w:r>
      <w:r w:rsidRPr="00736F23">
        <w:rPr>
          <w:b/>
          <w:bCs/>
          <w:sz w:val="24"/>
          <w:szCs w:val="24"/>
        </w:rPr>
        <w:t>Salazar v. Ortiz</w:t>
      </w:r>
      <w:r w:rsidRPr="00E25526">
        <w:rPr>
          <w:sz w:val="24"/>
          <w:szCs w:val="24"/>
        </w:rPr>
        <w:t>, Case No. 6D2025-2048 (Fla. 6th DCA 2026).</w:t>
      </w:r>
    </w:p>
    <w:p w:rsidRPr="00E25526" w:rsidR="006F0B5F" w:rsidP="006F0B5F" w:rsidRDefault="006F0B5F" w14:paraId="2D38E493" w14:textId="77777777">
      <w:pPr>
        <w:pStyle w:val="NoSpacing"/>
        <w:jc w:val="both"/>
        <w:rPr>
          <w:sz w:val="24"/>
          <w:szCs w:val="24"/>
        </w:rPr>
      </w:pPr>
      <w:r w:rsidRPr="00E25526">
        <w:rPr>
          <w:sz w:val="24"/>
          <w:szCs w:val="24"/>
        </w:rPr>
        <w:t>​A trial court may not grant a motion for judgment of partition under Florida Statutes section 64.051</w:t>
      </w:r>
      <w:r>
        <w:rPr>
          <w:sz w:val="24"/>
          <w:szCs w:val="24"/>
        </w:rPr>
        <w:t xml:space="preserve"> </w:t>
      </w:r>
      <w:r w:rsidRPr="00E25526">
        <w:rPr>
          <w:sz w:val="24"/>
          <w:szCs w:val="24"/>
        </w:rPr>
        <w:t xml:space="preserve">when the pleadings are not closed, the motion is based on evidence outside the pleadings without following summary judgment procedures, and the non-moving party has alleged partial performance of an oral contract that would constitute an exception to the Statute </w:t>
      </w:r>
      <w:r>
        <w:rPr>
          <w:sz w:val="24"/>
          <w:szCs w:val="24"/>
        </w:rPr>
        <w:t>o</w:t>
      </w:r>
      <w:r w:rsidRPr="00E25526">
        <w:rPr>
          <w:sz w:val="24"/>
          <w:szCs w:val="24"/>
        </w:rPr>
        <w:t>f Frauds.</w:t>
      </w:r>
    </w:p>
    <w:p w:rsidRPr="00E25526" w:rsidR="006F0B5F" w:rsidP="006F0B5F" w:rsidRDefault="006F0B5F" w14:paraId="7AA5AA26" w14:textId="77777777">
      <w:pPr>
        <w:pStyle w:val="NoSpacing"/>
        <w:jc w:val="both"/>
        <w:rPr>
          <w:sz w:val="24"/>
          <w:szCs w:val="24"/>
        </w:rPr>
      </w:pPr>
      <w:r w:rsidRPr="00E25526">
        <w:rPr>
          <w:sz w:val="24"/>
          <w:szCs w:val="24"/>
        </w:rPr>
        <w:t>​</w:t>
      </w:r>
    </w:p>
    <w:p w:rsidRPr="00E25526" w:rsidR="006F0B5F" w:rsidP="006F0B5F" w:rsidRDefault="006F0B5F" w14:paraId="407D7056" w14:textId="77777777">
      <w:pPr>
        <w:pStyle w:val="NoSpacing"/>
        <w:jc w:val="both"/>
        <w:rPr>
          <w:sz w:val="24"/>
          <w:szCs w:val="24"/>
        </w:rPr>
      </w:pPr>
      <w:r w:rsidRPr="00736F23">
        <w:rPr>
          <w:b/>
          <w:bCs/>
          <w:sz w:val="24"/>
          <w:szCs w:val="24"/>
        </w:rPr>
        <w:t>Ruffenach v. Deutsche Bank National Trust Co.</w:t>
      </w:r>
      <w:r w:rsidRPr="00E25526">
        <w:rPr>
          <w:sz w:val="24"/>
          <w:szCs w:val="24"/>
        </w:rPr>
        <w:t>, Case No. 6D2023-1482 (Fla. 6th DCA 2026).</w:t>
      </w:r>
    </w:p>
    <w:p w:rsidR="006F0B5F" w:rsidP="006F0B5F" w:rsidRDefault="006F0B5F" w14:paraId="1303978C" w14:textId="77777777">
      <w:pPr>
        <w:pStyle w:val="NoSpacing"/>
        <w:jc w:val="both"/>
        <w:rPr>
          <w:sz w:val="24"/>
          <w:szCs w:val="24"/>
        </w:rPr>
      </w:pPr>
      <w:r w:rsidRPr="00E25526">
        <w:rPr>
          <w:sz w:val="24"/>
          <w:szCs w:val="24"/>
        </w:rPr>
        <w:t>​A trial court need not always conduct an evidentiary hearing or receive expert testimony concerning the reasonableness of attorneys’ fees before granting an award of attorneys’ fees pursuant to a statute, rule, or contractual provision providing for such an award</w:t>
      </w:r>
      <w:r>
        <w:rPr>
          <w:sz w:val="24"/>
          <w:szCs w:val="24"/>
        </w:rPr>
        <w:t xml:space="preserve"> as n</w:t>
      </w:r>
      <w:r w:rsidRPr="00E25526">
        <w:rPr>
          <w:sz w:val="24"/>
          <w:szCs w:val="24"/>
        </w:rPr>
        <w:t>o statute or rule imposes these requirements and the judicially created requirements lack legal authority and sound policy grounds</w:t>
      </w:r>
      <w:r>
        <w:rPr>
          <w:sz w:val="24"/>
          <w:szCs w:val="24"/>
        </w:rPr>
        <w:t>.</w:t>
      </w:r>
    </w:p>
    <w:p w:rsidRPr="00325F36" w:rsidR="006F0B5F" w:rsidP="006F0B5F" w:rsidRDefault="006F0B5F" w14:paraId="0F874962" w14:textId="77777777">
      <w:pPr>
        <w:pStyle w:val="NoSpacing"/>
        <w:jc w:val="both"/>
        <w:rPr>
          <w:sz w:val="24"/>
          <w:szCs w:val="24"/>
        </w:rPr>
      </w:pPr>
    </w:p>
    <w:p w:rsidR="006F0B5F" w:rsidP="006F0B5F" w:rsidRDefault="006F0B5F" w14:paraId="5416E082" w14:textId="77777777">
      <w:pPr>
        <w:pStyle w:val="NoSpacing"/>
        <w:jc w:val="both"/>
        <w:rPr>
          <w:sz w:val="24"/>
          <w:szCs w:val="24"/>
        </w:rPr>
      </w:pPr>
      <w:r w:rsidRPr="00325F36">
        <w:rPr>
          <w:b/>
          <w:bCs/>
          <w:sz w:val="24"/>
          <w:szCs w:val="24"/>
        </w:rPr>
        <w:t>All Dry USA v. Savell</w:t>
      </w:r>
      <w:r w:rsidRPr="00325F36">
        <w:rPr>
          <w:sz w:val="24"/>
          <w:szCs w:val="24"/>
        </w:rPr>
        <w:t>, Case No. 1D2024-1700 (Fla. 1st DCA 2026).</w:t>
      </w:r>
    </w:p>
    <w:p w:rsidRPr="00325F36" w:rsidR="006F0B5F" w:rsidP="006F0B5F" w:rsidRDefault="006F0B5F" w14:paraId="0CAFC601" w14:textId="1022EF7E">
      <w:pPr>
        <w:pStyle w:val="NoSpacing"/>
        <w:jc w:val="both"/>
        <w:rPr>
          <w:sz w:val="24"/>
          <w:szCs w:val="24"/>
        </w:rPr>
      </w:pPr>
    </w:p>
    <w:p w:rsidRPr="00325F36" w:rsidR="006F0B5F" w:rsidP="006F0B5F" w:rsidRDefault="006F0B5F" w14:paraId="4E4BC19F" w14:textId="77777777">
      <w:pPr>
        <w:pStyle w:val="NoSpacing"/>
        <w:jc w:val="both"/>
        <w:rPr>
          <w:sz w:val="24"/>
          <w:szCs w:val="24"/>
        </w:rPr>
      </w:pPr>
      <w:r>
        <w:rPr>
          <w:sz w:val="24"/>
          <w:szCs w:val="24"/>
        </w:rPr>
        <w:lastRenderedPageBreak/>
        <w:t>F</w:t>
      </w:r>
      <w:r w:rsidRPr="00325F36">
        <w:rPr>
          <w:sz w:val="24"/>
          <w:szCs w:val="24"/>
        </w:rPr>
        <w:t>ailure to comply with case management deadlines alone does not justify strik</w:t>
      </w:r>
      <w:r>
        <w:rPr>
          <w:sz w:val="24"/>
          <w:szCs w:val="24"/>
        </w:rPr>
        <w:t>ing</w:t>
      </w:r>
      <w:r w:rsidRPr="00325F36">
        <w:rPr>
          <w:sz w:val="24"/>
          <w:szCs w:val="24"/>
        </w:rPr>
        <w:t xml:space="preserve"> a party's pleadings </w:t>
      </w:r>
      <w:r>
        <w:rPr>
          <w:sz w:val="24"/>
          <w:szCs w:val="24"/>
        </w:rPr>
        <w:t>and a</w:t>
      </w:r>
      <w:r w:rsidRPr="00325F36">
        <w:rPr>
          <w:sz w:val="24"/>
          <w:szCs w:val="24"/>
        </w:rPr>
        <w:t xml:space="preserve"> trial court may not </w:t>
      </w:r>
      <w:r>
        <w:rPr>
          <w:sz w:val="24"/>
          <w:szCs w:val="24"/>
        </w:rPr>
        <w:t xml:space="preserve">strike pleadings </w:t>
      </w:r>
      <w:r w:rsidRPr="00325F36">
        <w:rPr>
          <w:sz w:val="24"/>
          <w:szCs w:val="24"/>
        </w:rPr>
        <w:t>as a sanction for discovery violations under Florida Rule of Civil Procedure 1.380(b)(2) absent an express written finding that the party willfully and deliberately disregarded a court order</w:t>
      </w:r>
      <w:r>
        <w:rPr>
          <w:sz w:val="24"/>
          <w:szCs w:val="24"/>
        </w:rPr>
        <w:t>.</w:t>
      </w:r>
    </w:p>
    <w:p w:rsidRPr="00325F36" w:rsidR="006F0B5F" w:rsidP="006F0B5F" w:rsidRDefault="006F0B5F" w14:paraId="4B4FBF83" w14:textId="77777777">
      <w:pPr>
        <w:pStyle w:val="NoSpacing"/>
        <w:jc w:val="both"/>
        <w:rPr>
          <w:sz w:val="24"/>
          <w:szCs w:val="24"/>
        </w:rPr>
      </w:pPr>
    </w:p>
    <w:p w:rsidR="006F0B5F" w:rsidP="006F0B5F" w:rsidRDefault="006F0B5F" w14:paraId="4D72DAC2" w14:textId="77777777">
      <w:pPr>
        <w:pStyle w:val="NoSpacing"/>
        <w:jc w:val="both"/>
        <w:rPr>
          <w:sz w:val="24"/>
          <w:szCs w:val="24"/>
        </w:rPr>
      </w:pPr>
      <w:r w:rsidRPr="00325F36">
        <w:rPr>
          <w:b/>
          <w:bCs/>
          <w:sz w:val="24"/>
          <w:szCs w:val="24"/>
        </w:rPr>
        <w:t>Watkins v. Corbett</w:t>
      </w:r>
      <w:r w:rsidRPr="00325F36">
        <w:rPr>
          <w:sz w:val="24"/>
          <w:szCs w:val="24"/>
        </w:rPr>
        <w:t>, Case No. 2D2025-0214 (Fla. 2d DCA 2026).</w:t>
      </w:r>
    </w:p>
    <w:p w:rsidRPr="00325F36" w:rsidR="006F0B5F" w:rsidP="006F0B5F" w:rsidRDefault="006F0B5F" w14:paraId="71D42299" w14:textId="584E8019">
      <w:pPr>
        <w:pStyle w:val="NoSpacing"/>
        <w:jc w:val="both"/>
        <w:rPr>
          <w:sz w:val="24"/>
          <w:szCs w:val="24"/>
        </w:rPr>
      </w:pPr>
      <w:r>
        <w:rPr>
          <w:sz w:val="24"/>
          <w:szCs w:val="24"/>
        </w:rPr>
        <w:t>T</w:t>
      </w:r>
      <w:r w:rsidRPr="00325F36">
        <w:rPr>
          <w:sz w:val="24"/>
          <w:szCs w:val="24"/>
        </w:rPr>
        <w:t>he fact that the offerees own</w:t>
      </w:r>
      <w:r>
        <w:rPr>
          <w:sz w:val="24"/>
          <w:szCs w:val="24"/>
        </w:rPr>
        <w:t>ed</w:t>
      </w:r>
      <w:r w:rsidRPr="00325F36">
        <w:rPr>
          <w:sz w:val="24"/>
          <w:szCs w:val="24"/>
        </w:rPr>
        <w:t xml:space="preserve"> property as tenants by the entireties</w:t>
      </w:r>
      <w:r>
        <w:rPr>
          <w:sz w:val="24"/>
          <w:szCs w:val="24"/>
        </w:rPr>
        <w:t xml:space="preserve"> does not </w:t>
      </w:r>
      <w:r w:rsidR="003E2B92">
        <w:rPr>
          <w:sz w:val="24"/>
          <w:szCs w:val="24"/>
        </w:rPr>
        <w:t xml:space="preserve">excuse </w:t>
      </w:r>
      <w:r w:rsidRPr="00325F36" w:rsidR="003E2B92">
        <w:rPr>
          <w:sz w:val="24"/>
          <w:szCs w:val="24"/>
        </w:rPr>
        <w:t>the</w:t>
      </w:r>
      <w:r w:rsidRPr="00325F36">
        <w:rPr>
          <w:sz w:val="24"/>
          <w:szCs w:val="24"/>
        </w:rPr>
        <w:t xml:space="preserve"> </w:t>
      </w:r>
      <w:r w:rsidR="003E2B92">
        <w:rPr>
          <w:sz w:val="24"/>
          <w:szCs w:val="24"/>
        </w:rPr>
        <w:t xml:space="preserve">offer’s </w:t>
      </w:r>
      <w:r w:rsidRPr="00325F36">
        <w:rPr>
          <w:sz w:val="24"/>
          <w:szCs w:val="24"/>
        </w:rPr>
        <w:t>proponent</w:t>
      </w:r>
      <w:r>
        <w:rPr>
          <w:sz w:val="24"/>
          <w:szCs w:val="24"/>
        </w:rPr>
        <w:t>s</w:t>
      </w:r>
      <w:r w:rsidRPr="00325F36">
        <w:rPr>
          <w:sz w:val="24"/>
          <w:szCs w:val="24"/>
        </w:rPr>
        <w:t xml:space="preserve"> from th</w:t>
      </w:r>
      <w:r>
        <w:rPr>
          <w:sz w:val="24"/>
          <w:szCs w:val="24"/>
        </w:rPr>
        <w:t>e</w:t>
      </w:r>
      <w:r w:rsidRPr="00325F36">
        <w:rPr>
          <w:sz w:val="24"/>
          <w:szCs w:val="24"/>
        </w:rPr>
        <w:t xml:space="preserve"> strict apportionment requirement </w:t>
      </w:r>
      <w:r>
        <w:rPr>
          <w:sz w:val="24"/>
          <w:szCs w:val="24"/>
        </w:rPr>
        <w:t>of</w:t>
      </w:r>
      <w:r w:rsidRPr="00325F36">
        <w:rPr>
          <w:sz w:val="24"/>
          <w:szCs w:val="24"/>
        </w:rPr>
        <w:t xml:space="preserve"> Florida Rule of Civil Procedure 1.442 </w:t>
      </w:r>
      <w:r>
        <w:rPr>
          <w:sz w:val="24"/>
          <w:szCs w:val="24"/>
        </w:rPr>
        <w:t xml:space="preserve">that an offer </w:t>
      </w:r>
      <w:r w:rsidRPr="00325F36">
        <w:rPr>
          <w:sz w:val="24"/>
          <w:szCs w:val="24"/>
        </w:rPr>
        <w:t>must apportion the amount and terms attributable to each part</w:t>
      </w:r>
      <w:r>
        <w:rPr>
          <w:sz w:val="24"/>
          <w:szCs w:val="24"/>
        </w:rPr>
        <w:t>y</w:t>
      </w:r>
      <w:r w:rsidRPr="00325F36">
        <w:rPr>
          <w:sz w:val="24"/>
          <w:szCs w:val="24"/>
        </w:rPr>
        <w:t>.</w:t>
      </w:r>
    </w:p>
    <w:p w:rsidRPr="00325F36" w:rsidR="006F0B5F" w:rsidP="006F0B5F" w:rsidRDefault="006F0B5F" w14:paraId="724029CF" w14:textId="77777777">
      <w:pPr>
        <w:pStyle w:val="NoSpacing"/>
        <w:jc w:val="both"/>
        <w:rPr>
          <w:sz w:val="24"/>
          <w:szCs w:val="24"/>
        </w:rPr>
      </w:pPr>
    </w:p>
    <w:p w:rsidR="006F0B5F" w:rsidP="006F0B5F" w:rsidRDefault="006F0B5F" w14:paraId="2290EF80" w14:textId="77777777">
      <w:pPr>
        <w:pStyle w:val="NoSpacing"/>
        <w:jc w:val="both"/>
        <w:rPr>
          <w:sz w:val="24"/>
          <w:szCs w:val="24"/>
        </w:rPr>
      </w:pPr>
      <w:r w:rsidRPr="00325F36">
        <w:rPr>
          <w:b/>
          <w:bCs/>
          <w:sz w:val="24"/>
          <w:szCs w:val="24"/>
        </w:rPr>
        <w:t>Lincolnshire Maximo LLC v. Marina Walk, LLC</w:t>
      </w:r>
      <w:r w:rsidRPr="00325F36">
        <w:rPr>
          <w:sz w:val="24"/>
          <w:szCs w:val="24"/>
        </w:rPr>
        <w:t>, Case No. 2D2025-0037 (Fla. 2d DCA 2026).</w:t>
      </w:r>
    </w:p>
    <w:p w:rsidRPr="00325F36" w:rsidR="006F0B5F" w:rsidP="006F0B5F" w:rsidRDefault="006F0B5F" w14:paraId="273AA32F" w14:textId="77777777">
      <w:pPr>
        <w:pStyle w:val="NoSpacing"/>
        <w:jc w:val="both"/>
        <w:rPr>
          <w:sz w:val="24"/>
          <w:szCs w:val="24"/>
        </w:rPr>
      </w:pPr>
      <w:r w:rsidRPr="00325F36">
        <w:rPr>
          <w:sz w:val="24"/>
          <w:szCs w:val="24"/>
        </w:rPr>
        <w:t>Use of a drainage pipe on another's property is presumed permissive under Florida law,</w:t>
      </w:r>
      <w:r>
        <w:rPr>
          <w:sz w:val="24"/>
          <w:szCs w:val="24"/>
        </w:rPr>
        <w:t xml:space="preserve"> and </w:t>
      </w:r>
      <w:r w:rsidRPr="00325F36">
        <w:rPr>
          <w:sz w:val="24"/>
          <w:szCs w:val="24"/>
        </w:rPr>
        <w:t xml:space="preserve">the burden rests on </w:t>
      </w:r>
      <w:r>
        <w:rPr>
          <w:sz w:val="24"/>
          <w:szCs w:val="24"/>
        </w:rPr>
        <w:t>a</w:t>
      </w:r>
      <w:r w:rsidRPr="00325F36">
        <w:rPr>
          <w:sz w:val="24"/>
          <w:szCs w:val="24"/>
        </w:rPr>
        <w:t xml:space="preserve"> prescriptive easement claimant to overcome that presumption by clear and positive proof of adverse use</w:t>
      </w:r>
      <w:r>
        <w:rPr>
          <w:sz w:val="24"/>
          <w:szCs w:val="24"/>
        </w:rPr>
        <w:t>.</w:t>
      </w:r>
    </w:p>
    <w:p w:rsidRPr="00325F36" w:rsidR="006F0B5F" w:rsidP="006F0B5F" w:rsidRDefault="006F0B5F" w14:paraId="0F92FF4B" w14:textId="77777777">
      <w:pPr>
        <w:pStyle w:val="NoSpacing"/>
        <w:jc w:val="both"/>
        <w:rPr>
          <w:sz w:val="24"/>
          <w:szCs w:val="24"/>
        </w:rPr>
      </w:pPr>
    </w:p>
    <w:p w:rsidR="006F0B5F" w:rsidP="006F0B5F" w:rsidRDefault="006F0B5F" w14:paraId="1558A316" w14:textId="77777777">
      <w:pPr>
        <w:pStyle w:val="NoSpacing"/>
        <w:jc w:val="both"/>
        <w:rPr>
          <w:sz w:val="24"/>
          <w:szCs w:val="24"/>
        </w:rPr>
      </w:pPr>
      <w:r w:rsidRPr="002E5365">
        <w:rPr>
          <w:b/>
          <w:bCs/>
          <w:sz w:val="24"/>
          <w:szCs w:val="24"/>
        </w:rPr>
        <w:t>Ybor Properties, LLC v. City of Tampa</w:t>
      </w:r>
      <w:r w:rsidRPr="00325F36">
        <w:rPr>
          <w:sz w:val="24"/>
          <w:szCs w:val="24"/>
        </w:rPr>
        <w:t>, Case No. 2D2025-1535 (Fla. 2d DCA 2026).</w:t>
      </w:r>
    </w:p>
    <w:p w:rsidRPr="00325F36" w:rsidR="006F0B5F" w:rsidP="006F0B5F" w:rsidRDefault="006F0B5F" w14:paraId="1FD9E9B7" w14:textId="77777777">
      <w:pPr>
        <w:pStyle w:val="NoSpacing"/>
        <w:jc w:val="both"/>
        <w:rPr>
          <w:sz w:val="24"/>
          <w:szCs w:val="24"/>
        </w:rPr>
      </w:pPr>
      <w:r>
        <w:rPr>
          <w:sz w:val="24"/>
          <w:szCs w:val="24"/>
        </w:rPr>
        <w:t xml:space="preserve">A </w:t>
      </w:r>
      <w:r w:rsidRPr="00325F36">
        <w:rPr>
          <w:sz w:val="24"/>
          <w:szCs w:val="24"/>
        </w:rPr>
        <w:t xml:space="preserve">circuit court </w:t>
      </w:r>
      <w:r>
        <w:rPr>
          <w:sz w:val="24"/>
          <w:szCs w:val="24"/>
        </w:rPr>
        <w:t xml:space="preserve">exercising first-tier </w:t>
      </w:r>
      <w:r w:rsidRPr="00325F36">
        <w:rPr>
          <w:sz w:val="24"/>
          <w:szCs w:val="24"/>
        </w:rPr>
        <w:t xml:space="preserve">certiorari review departs from the essential requirements of law </w:t>
      </w:r>
      <w:r>
        <w:rPr>
          <w:sz w:val="24"/>
          <w:szCs w:val="24"/>
        </w:rPr>
        <w:t>by affirming</w:t>
      </w:r>
      <w:r w:rsidRPr="00325F36">
        <w:rPr>
          <w:sz w:val="24"/>
          <w:szCs w:val="24"/>
        </w:rPr>
        <w:t xml:space="preserve"> a city council's rejection of a hearing officer's recommended order </w:t>
      </w:r>
      <w:r>
        <w:rPr>
          <w:sz w:val="24"/>
          <w:szCs w:val="24"/>
        </w:rPr>
        <w:t xml:space="preserve">when the </w:t>
      </w:r>
      <w:r w:rsidRPr="00325F36">
        <w:rPr>
          <w:sz w:val="24"/>
          <w:szCs w:val="24"/>
        </w:rPr>
        <w:t>city council substituted its own factual findings for those of the hearing officer, concluded the zoning administrator lacked authority to rescind his own formal decision</w:t>
      </w:r>
      <w:r>
        <w:rPr>
          <w:sz w:val="24"/>
          <w:szCs w:val="24"/>
        </w:rPr>
        <w:t>,</w:t>
      </w:r>
      <w:r w:rsidRPr="00325F36">
        <w:rPr>
          <w:sz w:val="24"/>
          <w:szCs w:val="24"/>
        </w:rPr>
        <w:t xml:space="preserve"> and issued a written order with materially different findings and conclusions than those announced orally after the vote</w:t>
      </w:r>
      <w:r>
        <w:rPr>
          <w:sz w:val="24"/>
          <w:szCs w:val="24"/>
        </w:rPr>
        <w:t>.</w:t>
      </w:r>
    </w:p>
    <w:p w:rsidR="00901A66" w:rsidP="006F0B5F" w:rsidRDefault="00901A66" w14:paraId="7D4A621D" w14:textId="77777777">
      <w:pPr>
        <w:pStyle w:val="NoSpacing"/>
        <w:jc w:val="both"/>
        <w:rPr>
          <w:b/>
          <w:bCs/>
          <w:sz w:val="24"/>
          <w:szCs w:val="24"/>
        </w:rPr>
      </w:pPr>
    </w:p>
    <w:p w:rsidR="006F0B5F" w:rsidP="006F0B5F" w:rsidRDefault="006F0B5F" w14:paraId="05E7DFC9" w14:textId="37CAE1EF">
      <w:pPr>
        <w:pStyle w:val="NoSpacing"/>
        <w:jc w:val="both"/>
        <w:rPr>
          <w:sz w:val="24"/>
          <w:szCs w:val="24"/>
        </w:rPr>
      </w:pPr>
      <w:r w:rsidRPr="002E5365">
        <w:rPr>
          <w:b/>
          <w:bCs/>
          <w:sz w:val="24"/>
          <w:szCs w:val="24"/>
        </w:rPr>
        <w:t>Avesta Communities, LLC v. Fred</w:t>
      </w:r>
      <w:r w:rsidRPr="00325F36">
        <w:rPr>
          <w:sz w:val="24"/>
          <w:szCs w:val="24"/>
        </w:rPr>
        <w:t>, Case No. 2D2025-0367 (Fla. 2d DCA 2026).</w:t>
      </w:r>
    </w:p>
    <w:p w:rsidRPr="00325F36" w:rsidR="006F0B5F" w:rsidP="006F0B5F" w:rsidRDefault="006F0B5F" w14:paraId="077A2719" w14:textId="77777777">
      <w:pPr>
        <w:pStyle w:val="NoSpacing"/>
        <w:jc w:val="both"/>
        <w:rPr>
          <w:sz w:val="24"/>
          <w:szCs w:val="24"/>
        </w:rPr>
      </w:pPr>
      <w:r w:rsidRPr="00325F36">
        <w:rPr>
          <w:sz w:val="24"/>
          <w:szCs w:val="24"/>
        </w:rPr>
        <w:t xml:space="preserve">A trial court abuses its discretion when </w:t>
      </w:r>
      <w:r>
        <w:rPr>
          <w:sz w:val="24"/>
          <w:szCs w:val="24"/>
        </w:rPr>
        <w:t xml:space="preserve">- </w:t>
      </w:r>
      <w:r w:rsidRPr="00325F36">
        <w:rPr>
          <w:sz w:val="24"/>
          <w:szCs w:val="24"/>
        </w:rPr>
        <w:t>without making any finding of prejudice to the opposing party</w:t>
      </w:r>
      <w:r>
        <w:rPr>
          <w:sz w:val="24"/>
          <w:szCs w:val="24"/>
        </w:rPr>
        <w:t xml:space="preserve"> - </w:t>
      </w:r>
      <w:r w:rsidRPr="00325F36">
        <w:rPr>
          <w:sz w:val="24"/>
          <w:szCs w:val="24"/>
        </w:rPr>
        <w:t>excludes a witness from testifying at an evidentiary hearing on a motion to disqualify counsel solely because the witness was not listed on the moving party's witness list, particularly where the opposing party itself listed the same witness and the proffered testimony remained within the scope of a previously produced sworn declaration.</w:t>
      </w:r>
    </w:p>
    <w:p w:rsidR="006F0B5F" w:rsidP="006F0B5F" w:rsidRDefault="006F0B5F" w14:paraId="743AA4F9" w14:textId="77777777">
      <w:pPr>
        <w:pStyle w:val="NoSpacing"/>
        <w:jc w:val="both"/>
        <w:rPr>
          <w:sz w:val="24"/>
          <w:szCs w:val="24"/>
        </w:rPr>
      </w:pPr>
    </w:p>
    <w:p w:rsidR="006F0B5F" w:rsidP="006F0B5F" w:rsidRDefault="006F0B5F" w14:paraId="08D7DBD2" w14:textId="77777777">
      <w:pPr>
        <w:pStyle w:val="NoSpacing"/>
        <w:jc w:val="both"/>
        <w:rPr>
          <w:sz w:val="24"/>
          <w:szCs w:val="24"/>
        </w:rPr>
      </w:pPr>
      <w:r w:rsidRPr="002E5365">
        <w:rPr>
          <w:b/>
          <w:bCs/>
          <w:sz w:val="24"/>
          <w:szCs w:val="24"/>
        </w:rPr>
        <w:t>601 Cuda Properties, LLC v. Monroe County Board of County Commissioners</w:t>
      </w:r>
      <w:r w:rsidRPr="00325F36">
        <w:rPr>
          <w:sz w:val="24"/>
          <w:szCs w:val="24"/>
        </w:rPr>
        <w:t>, Case No. 3D24-2101 (Fla. 3d DCA 2026).</w:t>
      </w:r>
    </w:p>
    <w:p w:rsidRPr="00325F36" w:rsidR="006F0B5F" w:rsidP="006F0B5F" w:rsidRDefault="006F0B5F" w14:paraId="3DCCEB57" w14:textId="77777777">
      <w:pPr>
        <w:pStyle w:val="NoSpacing"/>
        <w:jc w:val="both"/>
        <w:rPr>
          <w:sz w:val="24"/>
          <w:szCs w:val="24"/>
        </w:rPr>
      </w:pPr>
      <w:r w:rsidRPr="00325F36">
        <w:rPr>
          <w:sz w:val="24"/>
          <w:szCs w:val="24"/>
        </w:rPr>
        <w:t>An administrative agency need not conduct an evidentiary hearing before dismissing a petition for administrative review based on untimeliness when no genuine factual disputes exist, and equitable tolling of a filing deadline is unavailable where the petitioner fails to allege that any misleading or lulling communication by the agency caused the untimely filing.</w:t>
      </w:r>
    </w:p>
    <w:p w:rsidRPr="00325F36" w:rsidR="006F0B5F" w:rsidP="006F0B5F" w:rsidRDefault="006F0B5F" w14:paraId="796D2CDD" w14:textId="77777777">
      <w:pPr>
        <w:pStyle w:val="NoSpacing"/>
        <w:jc w:val="both"/>
        <w:rPr>
          <w:sz w:val="24"/>
          <w:szCs w:val="24"/>
        </w:rPr>
      </w:pPr>
    </w:p>
    <w:p w:rsidR="006F0B5F" w:rsidP="006F0B5F" w:rsidRDefault="006F0B5F" w14:paraId="6C5F0654" w14:textId="77777777">
      <w:pPr>
        <w:pStyle w:val="NoSpacing"/>
        <w:jc w:val="both"/>
        <w:rPr>
          <w:sz w:val="24"/>
          <w:szCs w:val="24"/>
        </w:rPr>
      </w:pPr>
      <w:r w:rsidRPr="002E5365">
        <w:rPr>
          <w:b/>
          <w:bCs/>
          <w:sz w:val="24"/>
          <w:szCs w:val="24"/>
        </w:rPr>
        <w:t>Miami-Dade County v. Garavan</w:t>
      </w:r>
      <w:r w:rsidRPr="00325F36">
        <w:rPr>
          <w:sz w:val="24"/>
          <w:szCs w:val="24"/>
        </w:rPr>
        <w:t>, Case No. 3D25-0014 (Fla. 3d DCA 2026).</w:t>
      </w:r>
    </w:p>
    <w:p w:rsidRPr="00325F36" w:rsidR="006F0B5F" w:rsidP="006F0B5F" w:rsidRDefault="006F0B5F" w14:paraId="775A1D3E" w14:textId="77777777">
      <w:pPr>
        <w:pStyle w:val="NoSpacing"/>
        <w:jc w:val="both"/>
        <w:rPr>
          <w:sz w:val="24"/>
          <w:szCs w:val="24"/>
        </w:rPr>
      </w:pPr>
      <w:r>
        <w:rPr>
          <w:sz w:val="24"/>
          <w:szCs w:val="24"/>
        </w:rPr>
        <w:t xml:space="preserve">The </w:t>
      </w:r>
      <w:r w:rsidRPr="00325F36">
        <w:rPr>
          <w:sz w:val="24"/>
          <w:szCs w:val="24"/>
        </w:rPr>
        <w:t xml:space="preserve">Florida Public Whistleblower Act does not expressly and unequivocally waive sovereign immunity for </w:t>
      </w:r>
      <w:r>
        <w:rPr>
          <w:sz w:val="24"/>
          <w:szCs w:val="24"/>
        </w:rPr>
        <w:t>n</w:t>
      </w:r>
      <w:r w:rsidRPr="00325F36">
        <w:rPr>
          <w:sz w:val="24"/>
          <w:szCs w:val="24"/>
        </w:rPr>
        <w:t>on-economic damages</w:t>
      </w:r>
      <w:r>
        <w:rPr>
          <w:sz w:val="24"/>
          <w:szCs w:val="24"/>
        </w:rPr>
        <w:t>, and accordingly, such damages</w:t>
      </w:r>
      <w:r w:rsidRPr="00325F36">
        <w:rPr>
          <w:sz w:val="24"/>
          <w:szCs w:val="24"/>
        </w:rPr>
        <w:t xml:space="preserve"> are not recoverable against a governmental sovereign</w:t>
      </w:r>
      <w:r>
        <w:rPr>
          <w:sz w:val="24"/>
          <w:szCs w:val="24"/>
        </w:rPr>
        <w:t>.</w:t>
      </w:r>
    </w:p>
    <w:p w:rsidRPr="00325F36" w:rsidR="006F0B5F" w:rsidP="006F0B5F" w:rsidRDefault="006F0B5F" w14:paraId="5720D526" w14:textId="77777777">
      <w:pPr>
        <w:pStyle w:val="NoSpacing"/>
        <w:jc w:val="both"/>
        <w:rPr>
          <w:sz w:val="24"/>
          <w:szCs w:val="24"/>
        </w:rPr>
      </w:pPr>
    </w:p>
    <w:p w:rsidR="006F0B5F" w:rsidP="006F0B5F" w:rsidRDefault="006F0B5F" w14:paraId="219DF5F0" w14:textId="77777777">
      <w:pPr>
        <w:pStyle w:val="NoSpacing"/>
        <w:jc w:val="both"/>
        <w:rPr>
          <w:sz w:val="24"/>
          <w:szCs w:val="24"/>
        </w:rPr>
      </w:pPr>
      <w:r w:rsidRPr="002E5365">
        <w:rPr>
          <w:b/>
          <w:bCs/>
          <w:sz w:val="24"/>
          <w:szCs w:val="24"/>
        </w:rPr>
        <w:lastRenderedPageBreak/>
        <w:t>Hare v. McLaughlin</w:t>
      </w:r>
      <w:r w:rsidRPr="00325F36">
        <w:rPr>
          <w:sz w:val="24"/>
          <w:szCs w:val="24"/>
        </w:rPr>
        <w:t>, Case No. 4D2025-2001 (Fla. 4th DCA 2026).</w:t>
      </w:r>
    </w:p>
    <w:p w:rsidRPr="00325F36" w:rsidR="006F0B5F" w:rsidP="006F0B5F" w:rsidRDefault="006F0B5F" w14:paraId="04BF75DF" w14:textId="77777777">
      <w:pPr>
        <w:pStyle w:val="NoSpacing"/>
        <w:jc w:val="both"/>
        <w:rPr>
          <w:sz w:val="24"/>
          <w:szCs w:val="24"/>
        </w:rPr>
      </w:pPr>
      <w:r w:rsidRPr="00325F36">
        <w:rPr>
          <w:sz w:val="24"/>
          <w:szCs w:val="24"/>
        </w:rPr>
        <w:t xml:space="preserve">A partial final judgment resolving fewer than all counts of a multi-count complaint is not appealable under Florida Rule of Appellate Procedure 9.110(k) where the unresolved counts are interdependent with the resolved counts, </w:t>
      </w:r>
      <w:r>
        <w:rPr>
          <w:sz w:val="24"/>
          <w:szCs w:val="24"/>
        </w:rPr>
        <w:t xml:space="preserve">however, </w:t>
      </w:r>
      <w:r w:rsidRPr="00325F36">
        <w:rPr>
          <w:sz w:val="24"/>
          <w:szCs w:val="24"/>
        </w:rPr>
        <w:t>certiorari is available to review the propriety of authorizing post-judgment collection on such a non-final, non-appealable partial judgment.</w:t>
      </w:r>
    </w:p>
    <w:p w:rsidRPr="00325F36" w:rsidR="006F0B5F" w:rsidP="006F0B5F" w:rsidRDefault="006F0B5F" w14:paraId="40199BF7" w14:textId="77777777">
      <w:pPr>
        <w:pStyle w:val="NoSpacing"/>
        <w:jc w:val="both"/>
        <w:rPr>
          <w:sz w:val="24"/>
          <w:szCs w:val="24"/>
        </w:rPr>
      </w:pPr>
    </w:p>
    <w:p w:rsidR="006F0B5F" w:rsidP="006F0B5F" w:rsidRDefault="006F0B5F" w14:paraId="31813629" w14:textId="77777777">
      <w:pPr>
        <w:pStyle w:val="NoSpacing"/>
        <w:jc w:val="both"/>
        <w:rPr>
          <w:sz w:val="24"/>
          <w:szCs w:val="24"/>
        </w:rPr>
      </w:pPr>
      <w:r w:rsidRPr="002E5365">
        <w:rPr>
          <w:b/>
          <w:bCs/>
          <w:sz w:val="24"/>
          <w:szCs w:val="24"/>
        </w:rPr>
        <w:t>Marvin v. Jones</w:t>
      </w:r>
      <w:r w:rsidRPr="00325F36">
        <w:rPr>
          <w:sz w:val="24"/>
          <w:szCs w:val="24"/>
        </w:rPr>
        <w:t>, Case No. 4D2025-0414 (Fla. 4th DCA 2026).</w:t>
      </w:r>
    </w:p>
    <w:p w:rsidRPr="00901A66" w:rsidR="006F0B5F" w:rsidP="006F0B5F" w:rsidRDefault="006F0B5F" w14:paraId="5F641F1F" w14:textId="77008F2D">
      <w:pPr>
        <w:pStyle w:val="NoSpacing"/>
        <w:jc w:val="both"/>
        <w:rPr>
          <w:sz w:val="24"/>
          <w:szCs w:val="24"/>
        </w:rPr>
      </w:pPr>
      <w:r w:rsidRPr="00325F36">
        <w:rPr>
          <w:sz w:val="24"/>
          <w:szCs w:val="24"/>
        </w:rPr>
        <w:t>A general release consisting of a single, eighteen-word sentence that fails to define the claims released or impose a temporal limitation is ambiguous and cannot as a matter of law bar subsequent claims for equitable ownership by constructive trust or for fraudulent misrepresentation.</w:t>
      </w:r>
    </w:p>
    <w:p w:rsidR="006F0B5F" w:rsidP="006F0B5F" w:rsidRDefault="006F0B5F" w14:paraId="1F0AE445" w14:textId="77777777">
      <w:pPr>
        <w:pStyle w:val="NoSpacing"/>
        <w:jc w:val="both"/>
        <w:rPr>
          <w:b/>
          <w:bCs/>
          <w:sz w:val="24"/>
          <w:szCs w:val="24"/>
        </w:rPr>
      </w:pPr>
    </w:p>
    <w:p w:rsidR="006F0B5F" w:rsidP="006F0B5F" w:rsidRDefault="006F0B5F" w14:paraId="7FE3F624" w14:textId="77777777">
      <w:pPr>
        <w:pStyle w:val="NoSpacing"/>
        <w:jc w:val="both"/>
        <w:rPr>
          <w:sz w:val="24"/>
          <w:szCs w:val="24"/>
        </w:rPr>
      </w:pPr>
      <w:r w:rsidRPr="002E5365">
        <w:rPr>
          <w:b/>
          <w:bCs/>
          <w:sz w:val="24"/>
          <w:szCs w:val="24"/>
        </w:rPr>
        <w:t>Jhelum Enterprises, LLC v. Desmarais</w:t>
      </w:r>
      <w:r w:rsidRPr="00325F36">
        <w:rPr>
          <w:sz w:val="24"/>
          <w:szCs w:val="24"/>
        </w:rPr>
        <w:t>, Case No. 4D2025-0554 (Fla. 4th DCA 2026).</w:t>
      </w:r>
    </w:p>
    <w:p w:rsidR="006F0B5F" w:rsidP="006F0B5F" w:rsidRDefault="006F0B5F" w14:paraId="5AF7BC0E" w14:textId="5C7EE60A">
      <w:pPr>
        <w:pStyle w:val="NoSpacing"/>
        <w:jc w:val="both"/>
        <w:rPr>
          <w:sz w:val="24"/>
          <w:szCs w:val="24"/>
        </w:rPr>
      </w:pPr>
      <w:r w:rsidRPr="00325F36">
        <w:rPr>
          <w:sz w:val="24"/>
          <w:szCs w:val="24"/>
        </w:rPr>
        <w:t>Un</w:t>
      </w:r>
      <w:r>
        <w:rPr>
          <w:sz w:val="24"/>
          <w:szCs w:val="24"/>
        </w:rPr>
        <w:t>-</w:t>
      </w:r>
      <w:r w:rsidRPr="00325F36">
        <w:rPr>
          <w:sz w:val="24"/>
          <w:szCs w:val="24"/>
        </w:rPr>
        <w:t xml:space="preserve">accessed funds in a homeowner's reverse mortgage line of credit retain Florida's constitutional homestead exemption from </w:t>
      </w:r>
      <w:r>
        <w:rPr>
          <w:sz w:val="24"/>
          <w:szCs w:val="24"/>
        </w:rPr>
        <w:t>levy</w:t>
      </w:r>
      <w:r w:rsidRPr="00325F36">
        <w:rPr>
          <w:sz w:val="24"/>
          <w:szCs w:val="24"/>
        </w:rPr>
        <w:t xml:space="preserve"> until the homeowner actually draws the funds</w:t>
      </w:r>
      <w:r w:rsidR="003E2B92">
        <w:rPr>
          <w:sz w:val="24"/>
          <w:szCs w:val="24"/>
        </w:rPr>
        <w:t xml:space="preserve"> from the mortgage line of credit.</w:t>
      </w:r>
    </w:p>
    <w:p w:rsidRPr="00325F36" w:rsidR="003E2B92" w:rsidP="006F0B5F" w:rsidRDefault="003E2B92" w14:paraId="79F8FEC1" w14:textId="77777777">
      <w:pPr>
        <w:pStyle w:val="NoSpacing"/>
        <w:jc w:val="both"/>
        <w:rPr>
          <w:sz w:val="24"/>
          <w:szCs w:val="24"/>
        </w:rPr>
      </w:pPr>
    </w:p>
    <w:p w:rsidR="006F0B5F" w:rsidP="006F0B5F" w:rsidRDefault="006F0B5F" w14:paraId="6CF6564D" w14:textId="77777777">
      <w:pPr>
        <w:pStyle w:val="NoSpacing"/>
        <w:jc w:val="both"/>
        <w:rPr>
          <w:sz w:val="24"/>
          <w:szCs w:val="24"/>
        </w:rPr>
      </w:pPr>
      <w:r w:rsidRPr="002E5365">
        <w:rPr>
          <w:b/>
          <w:bCs/>
          <w:sz w:val="24"/>
          <w:szCs w:val="24"/>
        </w:rPr>
        <w:t>John F. Schutz, P.L. v. Ally Financial Inc.</w:t>
      </w:r>
      <w:r w:rsidRPr="00325F36">
        <w:rPr>
          <w:sz w:val="24"/>
          <w:szCs w:val="24"/>
        </w:rPr>
        <w:t>, Case No. 4D2024-2838 (Fla. 4th DCA 2026).</w:t>
      </w:r>
    </w:p>
    <w:p w:rsidRPr="00325F36" w:rsidR="006F0B5F" w:rsidP="006F0B5F" w:rsidRDefault="006F0B5F" w14:paraId="2944FBFF" w14:textId="77777777">
      <w:pPr>
        <w:pStyle w:val="NoSpacing"/>
        <w:jc w:val="both"/>
        <w:rPr>
          <w:sz w:val="24"/>
          <w:szCs w:val="24"/>
        </w:rPr>
      </w:pPr>
      <w:r w:rsidRPr="00325F36">
        <w:rPr>
          <w:sz w:val="24"/>
          <w:szCs w:val="24"/>
        </w:rPr>
        <w:t>An attorney's notice of charging lien that fails to identify the specific assets to which the lien attaches or the amount of fees owed is insufficient to impose liability on a third-party financial institution that was not a party to the underlying litigation and did not provide funds to obtain or pay a settlement or judgment.</w:t>
      </w:r>
    </w:p>
    <w:p w:rsidRPr="00325F36" w:rsidR="006F0B5F" w:rsidP="006F0B5F" w:rsidRDefault="006F0B5F" w14:paraId="56841D3C" w14:textId="77777777">
      <w:pPr>
        <w:pStyle w:val="NoSpacing"/>
        <w:jc w:val="both"/>
        <w:rPr>
          <w:sz w:val="24"/>
          <w:szCs w:val="24"/>
        </w:rPr>
      </w:pPr>
    </w:p>
    <w:p w:rsidR="006F0B5F" w:rsidP="006F0B5F" w:rsidRDefault="006F0B5F" w14:paraId="25625819" w14:textId="77777777">
      <w:pPr>
        <w:pStyle w:val="NoSpacing"/>
        <w:jc w:val="both"/>
        <w:rPr>
          <w:sz w:val="24"/>
          <w:szCs w:val="24"/>
        </w:rPr>
      </w:pPr>
      <w:r w:rsidRPr="002E5365">
        <w:rPr>
          <w:b/>
          <w:bCs/>
          <w:sz w:val="24"/>
          <w:szCs w:val="24"/>
        </w:rPr>
        <w:t>Sable Pass Community Association, Inc. v. Call</w:t>
      </w:r>
      <w:r w:rsidRPr="00325F36">
        <w:rPr>
          <w:sz w:val="24"/>
          <w:szCs w:val="24"/>
        </w:rPr>
        <w:t>, Case No. 4D2024-3084 (Fla. 4th DCA 2026).</w:t>
      </w:r>
    </w:p>
    <w:p w:rsidRPr="00325F36" w:rsidR="006F0B5F" w:rsidP="006F0B5F" w:rsidRDefault="006F0B5F" w14:paraId="7EAC9C51" w14:textId="5799F191">
      <w:pPr>
        <w:pStyle w:val="NoSpacing"/>
        <w:jc w:val="both"/>
        <w:rPr>
          <w:sz w:val="24"/>
          <w:szCs w:val="24"/>
        </w:rPr>
      </w:pPr>
      <w:r w:rsidRPr="00325F36">
        <w:rPr>
          <w:sz w:val="24"/>
          <w:szCs w:val="24"/>
        </w:rPr>
        <w:t>The statutory exemption from the Florida Building Code for chickee huts under Florida Statutes section 553.73(10)(i)</w:t>
      </w:r>
      <w:r>
        <w:rPr>
          <w:sz w:val="24"/>
          <w:szCs w:val="24"/>
        </w:rPr>
        <w:t xml:space="preserve"> </w:t>
      </w:r>
      <w:r w:rsidRPr="00325F36">
        <w:rPr>
          <w:sz w:val="24"/>
          <w:szCs w:val="24"/>
        </w:rPr>
        <w:t>does not exempt a structure from a homeowners' association's deed</w:t>
      </w:r>
      <w:r w:rsidR="003E2B92">
        <w:rPr>
          <w:sz w:val="24"/>
          <w:szCs w:val="24"/>
        </w:rPr>
        <w:t>-</w:t>
      </w:r>
      <w:r w:rsidRPr="00325F36">
        <w:rPr>
          <w:sz w:val="24"/>
          <w:szCs w:val="24"/>
        </w:rPr>
        <w:t>restriction approval requirements</w:t>
      </w:r>
      <w:r>
        <w:rPr>
          <w:sz w:val="24"/>
          <w:szCs w:val="24"/>
        </w:rPr>
        <w:t>.</w:t>
      </w:r>
    </w:p>
    <w:p w:rsidRPr="0019312B" w:rsidR="006F0B5F" w:rsidP="006F0B5F" w:rsidRDefault="006F0B5F" w14:paraId="3EF5BFAB" w14:textId="77777777">
      <w:pPr>
        <w:pStyle w:val="NoSpacing"/>
        <w:jc w:val="both"/>
        <w:rPr>
          <w:sz w:val="24"/>
          <w:szCs w:val="24"/>
        </w:rPr>
      </w:pPr>
    </w:p>
    <w:p w:rsidRPr="00E25526" w:rsidR="006F0B5F" w:rsidP="006F0B5F" w:rsidRDefault="006F0B5F" w14:paraId="7F1DA3B0" w14:textId="77777777">
      <w:pPr>
        <w:pStyle w:val="NoSpacing"/>
        <w:jc w:val="both"/>
        <w:rPr>
          <w:sz w:val="24"/>
          <w:szCs w:val="24"/>
        </w:rPr>
      </w:pPr>
    </w:p>
    <w:p w:rsidRPr="00CC7C80" w:rsidR="009A3513" w:rsidP="006F0B5F" w:rsidRDefault="009A3513" w14:paraId="63401B61" w14:textId="0BD9897D">
      <w:pPr>
        <w:pStyle w:val="NoSpacing"/>
        <w:jc w:val="both"/>
        <w:rPr>
          <w:sz w:val="24"/>
          <w:szCs w:val="24"/>
        </w:rPr>
      </w:pPr>
    </w:p>
    <w:p w:rsidRPr="003419E4" w:rsidR="009A3513" w:rsidP="006904B6" w:rsidRDefault="009A3513" w14:paraId="30FE2EB7" w14:textId="77777777">
      <w:pPr>
        <w:pStyle w:val="NoSpacing"/>
        <w:jc w:val="both"/>
        <w:rPr>
          <w:rFonts w:cs="Arial"/>
          <w:sz w:val="24"/>
          <w:szCs w:val="24"/>
        </w:rPr>
      </w:pPr>
    </w:p>
    <w:sectPr w:rsidRPr="003419E4" w:rsidR="009A35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452" w:rsidP="00A7296E" w:rsidRDefault="001D3452" w14:paraId="02A744DE" w14:textId="77777777">
      <w:pPr>
        <w:spacing w:after="0" w:line="240" w:lineRule="auto"/>
      </w:pPr>
      <w:r>
        <w:separator/>
      </w:r>
    </w:p>
  </w:endnote>
  <w:endnote w:type="continuationSeparator" w:id="0">
    <w:p w:rsidR="001D3452" w:rsidP="00A7296E" w:rsidRDefault="001D3452" w14:paraId="1E6A5EC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243BB0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296E" w:rsidP="0059088B" w:rsidRDefault="00A7296E" w14:paraId="653DF00F" w14:textId="4B305F7B">
    <w:pPr>
      <w:pStyle w:val="Footer"/>
      <w:tabs>
        <w:tab w:val="clear" w:pos="4680"/>
        <w:tab w:val="clear" w:pos="9360"/>
        <w:tab w:val="left" w:pos="3218"/>
      </w:tabs>
    </w:pPr>
    <w:r>
      <w:rPr>
        <w:rFonts w:cs="Arial"/>
      </w:rPr>
      <w:t>©</w:t>
    </w:r>
    <w:r>
      <w:t xml:space="preserve"> Manuel Farach 20</w:t>
    </w:r>
    <w:r w:rsidR="00DB5DF7">
      <w:t>2</w:t>
    </w:r>
    <w:r w:rsidR="00F90EFC">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61D945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452" w:rsidP="00A7296E" w:rsidRDefault="001D3452" w14:paraId="6A07EEE2" w14:textId="77777777">
      <w:pPr>
        <w:spacing w:after="0" w:line="240" w:lineRule="auto"/>
      </w:pPr>
      <w:r>
        <w:separator/>
      </w:r>
    </w:p>
  </w:footnote>
  <w:footnote w:type="continuationSeparator" w:id="0">
    <w:p w:rsidR="001D3452" w:rsidP="00A7296E" w:rsidRDefault="001D3452" w14:paraId="17E720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09F5987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15655C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0EFC" w:rsidRDefault="00F90EFC" w14:paraId="7CED96B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96E"/>
    <w:rsid w:val="000021D6"/>
    <w:rsid w:val="0000275E"/>
    <w:rsid w:val="00007FB7"/>
    <w:rsid w:val="00020F58"/>
    <w:rsid w:val="00022882"/>
    <w:rsid w:val="00053439"/>
    <w:rsid w:val="00064D05"/>
    <w:rsid w:val="00067481"/>
    <w:rsid w:val="000779D7"/>
    <w:rsid w:val="00080275"/>
    <w:rsid w:val="000A3C8E"/>
    <w:rsid w:val="000A7185"/>
    <w:rsid w:val="000B0E61"/>
    <w:rsid w:val="000C59CF"/>
    <w:rsid w:val="000E20E0"/>
    <w:rsid w:val="000E604B"/>
    <w:rsid w:val="000E6EF0"/>
    <w:rsid w:val="00104FA8"/>
    <w:rsid w:val="0010627F"/>
    <w:rsid w:val="00126B5E"/>
    <w:rsid w:val="001307E0"/>
    <w:rsid w:val="00132250"/>
    <w:rsid w:val="0014043E"/>
    <w:rsid w:val="001737EF"/>
    <w:rsid w:val="00180CC2"/>
    <w:rsid w:val="00183C1B"/>
    <w:rsid w:val="00196698"/>
    <w:rsid w:val="001A7807"/>
    <w:rsid w:val="001C7ECE"/>
    <w:rsid w:val="001D3452"/>
    <w:rsid w:val="001D4012"/>
    <w:rsid w:val="001E2074"/>
    <w:rsid w:val="001F2D83"/>
    <w:rsid w:val="001F3A59"/>
    <w:rsid w:val="00210F62"/>
    <w:rsid w:val="00223533"/>
    <w:rsid w:val="00225682"/>
    <w:rsid w:val="00227A19"/>
    <w:rsid w:val="00261B7E"/>
    <w:rsid w:val="00271678"/>
    <w:rsid w:val="0028316C"/>
    <w:rsid w:val="00285ACF"/>
    <w:rsid w:val="002906F5"/>
    <w:rsid w:val="002A7534"/>
    <w:rsid w:val="002C35C2"/>
    <w:rsid w:val="002E1D5D"/>
    <w:rsid w:val="002E5391"/>
    <w:rsid w:val="002F4AFF"/>
    <w:rsid w:val="003015C3"/>
    <w:rsid w:val="003073AB"/>
    <w:rsid w:val="0031327F"/>
    <w:rsid w:val="0032347C"/>
    <w:rsid w:val="00330254"/>
    <w:rsid w:val="00333FAB"/>
    <w:rsid w:val="00335840"/>
    <w:rsid w:val="00337F96"/>
    <w:rsid w:val="003419E4"/>
    <w:rsid w:val="00350831"/>
    <w:rsid w:val="00357B6C"/>
    <w:rsid w:val="00362EA6"/>
    <w:rsid w:val="0038653D"/>
    <w:rsid w:val="00392CF3"/>
    <w:rsid w:val="003B164F"/>
    <w:rsid w:val="003B4A90"/>
    <w:rsid w:val="003B5A55"/>
    <w:rsid w:val="003E0666"/>
    <w:rsid w:val="003E0D6A"/>
    <w:rsid w:val="003E20E5"/>
    <w:rsid w:val="003E2B92"/>
    <w:rsid w:val="003E36F7"/>
    <w:rsid w:val="003F2A67"/>
    <w:rsid w:val="00400402"/>
    <w:rsid w:val="0040190D"/>
    <w:rsid w:val="00424DB0"/>
    <w:rsid w:val="004250A4"/>
    <w:rsid w:val="0042592C"/>
    <w:rsid w:val="00434477"/>
    <w:rsid w:val="00443B0E"/>
    <w:rsid w:val="00473C8F"/>
    <w:rsid w:val="004B021F"/>
    <w:rsid w:val="004B2B97"/>
    <w:rsid w:val="004B6696"/>
    <w:rsid w:val="004D2B08"/>
    <w:rsid w:val="004E2113"/>
    <w:rsid w:val="004E4501"/>
    <w:rsid w:val="004E5656"/>
    <w:rsid w:val="00505651"/>
    <w:rsid w:val="00511EB5"/>
    <w:rsid w:val="0052486D"/>
    <w:rsid w:val="00551C5C"/>
    <w:rsid w:val="00552B91"/>
    <w:rsid w:val="00560340"/>
    <w:rsid w:val="005611F5"/>
    <w:rsid w:val="005648C7"/>
    <w:rsid w:val="00570D9E"/>
    <w:rsid w:val="005738A2"/>
    <w:rsid w:val="005832F4"/>
    <w:rsid w:val="00586603"/>
    <w:rsid w:val="0059088B"/>
    <w:rsid w:val="00595CD5"/>
    <w:rsid w:val="005A5C69"/>
    <w:rsid w:val="005B2247"/>
    <w:rsid w:val="005B7621"/>
    <w:rsid w:val="005F4CB8"/>
    <w:rsid w:val="00604A56"/>
    <w:rsid w:val="00612214"/>
    <w:rsid w:val="00625C32"/>
    <w:rsid w:val="0063599A"/>
    <w:rsid w:val="00640E4A"/>
    <w:rsid w:val="006456D3"/>
    <w:rsid w:val="00647205"/>
    <w:rsid w:val="00660515"/>
    <w:rsid w:val="00680953"/>
    <w:rsid w:val="006904B6"/>
    <w:rsid w:val="0069158D"/>
    <w:rsid w:val="006C40F1"/>
    <w:rsid w:val="006C5070"/>
    <w:rsid w:val="006F0B5F"/>
    <w:rsid w:val="006F6ACD"/>
    <w:rsid w:val="007054CF"/>
    <w:rsid w:val="00713790"/>
    <w:rsid w:val="00735B48"/>
    <w:rsid w:val="00756765"/>
    <w:rsid w:val="00773DC5"/>
    <w:rsid w:val="00776669"/>
    <w:rsid w:val="00787D4E"/>
    <w:rsid w:val="007A1CFD"/>
    <w:rsid w:val="007C0E9B"/>
    <w:rsid w:val="007F2F20"/>
    <w:rsid w:val="00811897"/>
    <w:rsid w:val="008209C2"/>
    <w:rsid w:val="0083187D"/>
    <w:rsid w:val="00834BA5"/>
    <w:rsid w:val="00840833"/>
    <w:rsid w:val="008427D0"/>
    <w:rsid w:val="00850612"/>
    <w:rsid w:val="00853BF9"/>
    <w:rsid w:val="0086609C"/>
    <w:rsid w:val="008727A5"/>
    <w:rsid w:val="00890B55"/>
    <w:rsid w:val="00893494"/>
    <w:rsid w:val="008A6087"/>
    <w:rsid w:val="008B692D"/>
    <w:rsid w:val="008C6B27"/>
    <w:rsid w:val="008D3672"/>
    <w:rsid w:val="008D4D8D"/>
    <w:rsid w:val="008E0D50"/>
    <w:rsid w:val="008F5DB1"/>
    <w:rsid w:val="00901A66"/>
    <w:rsid w:val="009022A2"/>
    <w:rsid w:val="00923D6D"/>
    <w:rsid w:val="009246E8"/>
    <w:rsid w:val="00925DBE"/>
    <w:rsid w:val="00930C8B"/>
    <w:rsid w:val="009621D3"/>
    <w:rsid w:val="009655E0"/>
    <w:rsid w:val="009A3513"/>
    <w:rsid w:val="009C1ABF"/>
    <w:rsid w:val="009E59EB"/>
    <w:rsid w:val="009F0A9C"/>
    <w:rsid w:val="009F7448"/>
    <w:rsid w:val="00A2109D"/>
    <w:rsid w:val="00A37DAC"/>
    <w:rsid w:val="00A4066E"/>
    <w:rsid w:val="00A4143C"/>
    <w:rsid w:val="00A568A9"/>
    <w:rsid w:val="00A7296E"/>
    <w:rsid w:val="00AC2D12"/>
    <w:rsid w:val="00AD11C9"/>
    <w:rsid w:val="00AD3B94"/>
    <w:rsid w:val="00AE3D91"/>
    <w:rsid w:val="00B104B7"/>
    <w:rsid w:val="00B26489"/>
    <w:rsid w:val="00B32636"/>
    <w:rsid w:val="00B517AA"/>
    <w:rsid w:val="00B53CE3"/>
    <w:rsid w:val="00B555F9"/>
    <w:rsid w:val="00B6274E"/>
    <w:rsid w:val="00B666EA"/>
    <w:rsid w:val="00B842BB"/>
    <w:rsid w:val="00B87A88"/>
    <w:rsid w:val="00BA301D"/>
    <w:rsid w:val="00BB18FA"/>
    <w:rsid w:val="00BF7E4B"/>
    <w:rsid w:val="00C24009"/>
    <w:rsid w:val="00C34393"/>
    <w:rsid w:val="00C40859"/>
    <w:rsid w:val="00C522DA"/>
    <w:rsid w:val="00C6235F"/>
    <w:rsid w:val="00C81A87"/>
    <w:rsid w:val="00C84E02"/>
    <w:rsid w:val="00C851D8"/>
    <w:rsid w:val="00C86E0C"/>
    <w:rsid w:val="00CB36B4"/>
    <w:rsid w:val="00CB401D"/>
    <w:rsid w:val="00CB4BDD"/>
    <w:rsid w:val="00CE34B8"/>
    <w:rsid w:val="00CF189B"/>
    <w:rsid w:val="00CF3D9C"/>
    <w:rsid w:val="00D00277"/>
    <w:rsid w:val="00D13515"/>
    <w:rsid w:val="00D16490"/>
    <w:rsid w:val="00D239AE"/>
    <w:rsid w:val="00D65F28"/>
    <w:rsid w:val="00D722AA"/>
    <w:rsid w:val="00D938D5"/>
    <w:rsid w:val="00D94217"/>
    <w:rsid w:val="00DB13EC"/>
    <w:rsid w:val="00DB5DF7"/>
    <w:rsid w:val="00DD7DAC"/>
    <w:rsid w:val="00DE15DD"/>
    <w:rsid w:val="00DF4529"/>
    <w:rsid w:val="00E039E7"/>
    <w:rsid w:val="00E06B48"/>
    <w:rsid w:val="00E14FB1"/>
    <w:rsid w:val="00E16323"/>
    <w:rsid w:val="00E32C71"/>
    <w:rsid w:val="00E3479C"/>
    <w:rsid w:val="00E35D78"/>
    <w:rsid w:val="00E456BA"/>
    <w:rsid w:val="00E61726"/>
    <w:rsid w:val="00E72311"/>
    <w:rsid w:val="00E819F4"/>
    <w:rsid w:val="00EA1545"/>
    <w:rsid w:val="00EA7B0B"/>
    <w:rsid w:val="00EA7CAD"/>
    <w:rsid w:val="00EB13C1"/>
    <w:rsid w:val="00EB149E"/>
    <w:rsid w:val="00EB7AFD"/>
    <w:rsid w:val="00EC22D0"/>
    <w:rsid w:val="00EC57E1"/>
    <w:rsid w:val="00EE6401"/>
    <w:rsid w:val="00F348E0"/>
    <w:rsid w:val="00F4216C"/>
    <w:rsid w:val="00F6346E"/>
    <w:rsid w:val="00F63F8B"/>
    <w:rsid w:val="00F80D49"/>
    <w:rsid w:val="00F8210B"/>
    <w:rsid w:val="00F90EFC"/>
    <w:rsid w:val="00F923FB"/>
    <w:rsid w:val="00F963DD"/>
    <w:rsid w:val="00F974ED"/>
    <w:rsid w:val="00FA0E88"/>
    <w:rsid w:val="00FA28B5"/>
    <w:rsid w:val="00FA42DE"/>
    <w:rsid w:val="00FB38D0"/>
    <w:rsid w:val="00FC3CFA"/>
    <w:rsid w:val="00FD686E"/>
    <w:rsid w:val="6581A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E0AE"/>
  <w15:chartTrackingRefBased/>
  <w15:docId w15:val="{209BBE45-8972-4E61-800E-7878BE60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basedOn w:val="Normal"/>
    <w:uiPriority w:val="1"/>
    <w:qFormat/>
    <w:rsid w:val="00A7296E"/>
    <w:pPr>
      <w:spacing w:after="0" w:line="240" w:lineRule="auto"/>
    </w:pPr>
    <w:rPr>
      <w:rFonts w:eastAsia="Times New Roman" w:cs="Times New Roman"/>
      <w:sz w:val="20"/>
      <w:szCs w:val="20"/>
    </w:rPr>
  </w:style>
  <w:style w:type="paragraph" w:styleId="Header">
    <w:name w:val="header"/>
    <w:basedOn w:val="Normal"/>
    <w:link w:val="HeaderChar"/>
    <w:uiPriority w:val="99"/>
    <w:unhideWhenUsed/>
    <w:rsid w:val="00A7296E"/>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296E"/>
  </w:style>
  <w:style w:type="paragraph" w:styleId="Footer">
    <w:name w:val="footer"/>
    <w:basedOn w:val="Normal"/>
    <w:link w:val="FooterChar"/>
    <w:uiPriority w:val="99"/>
    <w:unhideWhenUsed/>
    <w:rsid w:val="00A729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296E"/>
  </w:style>
  <w:style w:type="character" w:styleId="Hyperlink">
    <w:name w:val="Hyperlink"/>
    <w:basedOn w:val="DefaultParagraphFont"/>
    <w:uiPriority w:val="99"/>
    <w:unhideWhenUsed/>
    <w:rsid w:val="00DE15DD"/>
    <w:rPr>
      <w:color w:val="0563C1" w:themeColor="hyperlink"/>
      <w:u w:val="single"/>
    </w:rPr>
  </w:style>
  <w:style w:type="character" w:styleId="FollowedHyperlink">
    <w:name w:val="FollowedHyperlink"/>
    <w:basedOn w:val="DefaultParagraphFont"/>
    <w:uiPriority w:val="99"/>
    <w:semiHidden/>
    <w:unhideWhenUsed/>
    <w:rsid w:val="00126B5E"/>
    <w:rPr>
      <w:color w:val="954F72" w:themeColor="followedHyperlink"/>
      <w:u w:val="single"/>
    </w:rPr>
  </w:style>
  <w:style w:type="paragraph" w:styleId="paragraph" w:customStyle="1">
    <w:name w:val="paragraph"/>
    <w:basedOn w:val="Normal"/>
    <w:rsid w:val="00604A56"/>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604A56"/>
  </w:style>
  <w:style w:type="character" w:styleId="eop" w:customStyle="1">
    <w:name w:val="eop"/>
    <w:basedOn w:val="DefaultParagraphFont"/>
    <w:rsid w:val="0060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58921">
      <w:bodyDiv w:val="1"/>
      <w:marLeft w:val="0"/>
      <w:marRight w:val="0"/>
      <w:marTop w:val="0"/>
      <w:marBottom w:val="0"/>
      <w:divBdr>
        <w:top w:val="none" w:sz="0" w:space="0" w:color="auto"/>
        <w:left w:val="none" w:sz="0" w:space="0" w:color="auto"/>
        <w:bottom w:val="none" w:sz="0" w:space="0" w:color="auto"/>
        <w:right w:val="none" w:sz="0" w:space="0" w:color="auto"/>
      </w:divBdr>
    </w:div>
    <w:div w:id="323708983">
      <w:bodyDiv w:val="1"/>
      <w:marLeft w:val="0"/>
      <w:marRight w:val="0"/>
      <w:marTop w:val="0"/>
      <w:marBottom w:val="0"/>
      <w:divBdr>
        <w:top w:val="none" w:sz="0" w:space="0" w:color="auto"/>
        <w:left w:val="none" w:sz="0" w:space="0" w:color="auto"/>
        <w:bottom w:val="none" w:sz="0" w:space="0" w:color="auto"/>
        <w:right w:val="none" w:sz="0" w:space="0" w:color="auto"/>
      </w:divBdr>
    </w:div>
    <w:div w:id="325941253">
      <w:bodyDiv w:val="1"/>
      <w:marLeft w:val="0"/>
      <w:marRight w:val="0"/>
      <w:marTop w:val="0"/>
      <w:marBottom w:val="0"/>
      <w:divBdr>
        <w:top w:val="none" w:sz="0" w:space="0" w:color="auto"/>
        <w:left w:val="none" w:sz="0" w:space="0" w:color="auto"/>
        <w:bottom w:val="none" w:sz="0" w:space="0" w:color="auto"/>
        <w:right w:val="none" w:sz="0" w:space="0" w:color="auto"/>
      </w:divBdr>
    </w:div>
    <w:div w:id="363284954">
      <w:bodyDiv w:val="1"/>
      <w:marLeft w:val="0"/>
      <w:marRight w:val="0"/>
      <w:marTop w:val="0"/>
      <w:marBottom w:val="0"/>
      <w:divBdr>
        <w:top w:val="none" w:sz="0" w:space="0" w:color="auto"/>
        <w:left w:val="none" w:sz="0" w:space="0" w:color="auto"/>
        <w:bottom w:val="none" w:sz="0" w:space="0" w:color="auto"/>
        <w:right w:val="none" w:sz="0" w:space="0" w:color="auto"/>
      </w:divBdr>
    </w:div>
    <w:div w:id="504591751">
      <w:bodyDiv w:val="1"/>
      <w:marLeft w:val="0"/>
      <w:marRight w:val="0"/>
      <w:marTop w:val="0"/>
      <w:marBottom w:val="0"/>
      <w:divBdr>
        <w:top w:val="none" w:sz="0" w:space="0" w:color="auto"/>
        <w:left w:val="none" w:sz="0" w:space="0" w:color="auto"/>
        <w:bottom w:val="none" w:sz="0" w:space="0" w:color="auto"/>
        <w:right w:val="none" w:sz="0" w:space="0" w:color="auto"/>
      </w:divBdr>
    </w:div>
    <w:div w:id="509107439">
      <w:bodyDiv w:val="1"/>
      <w:marLeft w:val="0"/>
      <w:marRight w:val="0"/>
      <w:marTop w:val="0"/>
      <w:marBottom w:val="0"/>
      <w:divBdr>
        <w:top w:val="none" w:sz="0" w:space="0" w:color="auto"/>
        <w:left w:val="none" w:sz="0" w:space="0" w:color="auto"/>
        <w:bottom w:val="none" w:sz="0" w:space="0" w:color="auto"/>
        <w:right w:val="none" w:sz="0" w:space="0" w:color="auto"/>
      </w:divBdr>
    </w:div>
    <w:div w:id="541744811">
      <w:bodyDiv w:val="1"/>
      <w:marLeft w:val="0"/>
      <w:marRight w:val="0"/>
      <w:marTop w:val="0"/>
      <w:marBottom w:val="0"/>
      <w:divBdr>
        <w:top w:val="none" w:sz="0" w:space="0" w:color="auto"/>
        <w:left w:val="none" w:sz="0" w:space="0" w:color="auto"/>
        <w:bottom w:val="none" w:sz="0" w:space="0" w:color="auto"/>
        <w:right w:val="none" w:sz="0" w:space="0" w:color="auto"/>
      </w:divBdr>
    </w:div>
    <w:div w:id="574632984">
      <w:bodyDiv w:val="1"/>
      <w:marLeft w:val="0"/>
      <w:marRight w:val="0"/>
      <w:marTop w:val="0"/>
      <w:marBottom w:val="0"/>
      <w:divBdr>
        <w:top w:val="none" w:sz="0" w:space="0" w:color="auto"/>
        <w:left w:val="none" w:sz="0" w:space="0" w:color="auto"/>
        <w:bottom w:val="none" w:sz="0" w:space="0" w:color="auto"/>
        <w:right w:val="none" w:sz="0" w:space="0" w:color="auto"/>
      </w:divBdr>
    </w:div>
    <w:div w:id="635793720">
      <w:bodyDiv w:val="1"/>
      <w:marLeft w:val="0"/>
      <w:marRight w:val="0"/>
      <w:marTop w:val="0"/>
      <w:marBottom w:val="0"/>
      <w:divBdr>
        <w:top w:val="none" w:sz="0" w:space="0" w:color="auto"/>
        <w:left w:val="none" w:sz="0" w:space="0" w:color="auto"/>
        <w:bottom w:val="none" w:sz="0" w:space="0" w:color="auto"/>
        <w:right w:val="none" w:sz="0" w:space="0" w:color="auto"/>
      </w:divBdr>
    </w:div>
    <w:div w:id="657419970">
      <w:bodyDiv w:val="1"/>
      <w:marLeft w:val="0"/>
      <w:marRight w:val="0"/>
      <w:marTop w:val="0"/>
      <w:marBottom w:val="0"/>
      <w:divBdr>
        <w:top w:val="none" w:sz="0" w:space="0" w:color="auto"/>
        <w:left w:val="none" w:sz="0" w:space="0" w:color="auto"/>
        <w:bottom w:val="none" w:sz="0" w:space="0" w:color="auto"/>
        <w:right w:val="none" w:sz="0" w:space="0" w:color="auto"/>
      </w:divBdr>
    </w:div>
    <w:div w:id="707990737">
      <w:bodyDiv w:val="1"/>
      <w:marLeft w:val="0"/>
      <w:marRight w:val="0"/>
      <w:marTop w:val="0"/>
      <w:marBottom w:val="0"/>
      <w:divBdr>
        <w:top w:val="none" w:sz="0" w:space="0" w:color="auto"/>
        <w:left w:val="none" w:sz="0" w:space="0" w:color="auto"/>
        <w:bottom w:val="none" w:sz="0" w:space="0" w:color="auto"/>
        <w:right w:val="none" w:sz="0" w:space="0" w:color="auto"/>
      </w:divBdr>
    </w:div>
    <w:div w:id="709645721">
      <w:bodyDiv w:val="1"/>
      <w:marLeft w:val="0"/>
      <w:marRight w:val="0"/>
      <w:marTop w:val="0"/>
      <w:marBottom w:val="0"/>
      <w:divBdr>
        <w:top w:val="none" w:sz="0" w:space="0" w:color="auto"/>
        <w:left w:val="none" w:sz="0" w:space="0" w:color="auto"/>
        <w:bottom w:val="none" w:sz="0" w:space="0" w:color="auto"/>
        <w:right w:val="none" w:sz="0" w:space="0" w:color="auto"/>
      </w:divBdr>
    </w:div>
    <w:div w:id="805438054">
      <w:bodyDiv w:val="1"/>
      <w:marLeft w:val="0"/>
      <w:marRight w:val="0"/>
      <w:marTop w:val="0"/>
      <w:marBottom w:val="0"/>
      <w:divBdr>
        <w:top w:val="none" w:sz="0" w:space="0" w:color="auto"/>
        <w:left w:val="none" w:sz="0" w:space="0" w:color="auto"/>
        <w:bottom w:val="none" w:sz="0" w:space="0" w:color="auto"/>
        <w:right w:val="none" w:sz="0" w:space="0" w:color="auto"/>
      </w:divBdr>
    </w:div>
    <w:div w:id="886263168">
      <w:bodyDiv w:val="1"/>
      <w:marLeft w:val="0"/>
      <w:marRight w:val="0"/>
      <w:marTop w:val="0"/>
      <w:marBottom w:val="0"/>
      <w:divBdr>
        <w:top w:val="none" w:sz="0" w:space="0" w:color="auto"/>
        <w:left w:val="none" w:sz="0" w:space="0" w:color="auto"/>
        <w:bottom w:val="none" w:sz="0" w:space="0" w:color="auto"/>
        <w:right w:val="none" w:sz="0" w:space="0" w:color="auto"/>
      </w:divBdr>
    </w:div>
    <w:div w:id="891162587">
      <w:bodyDiv w:val="1"/>
      <w:marLeft w:val="0"/>
      <w:marRight w:val="0"/>
      <w:marTop w:val="0"/>
      <w:marBottom w:val="0"/>
      <w:divBdr>
        <w:top w:val="none" w:sz="0" w:space="0" w:color="auto"/>
        <w:left w:val="none" w:sz="0" w:space="0" w:color="auto"/>
        <w:bottom w:val="none" w:sz="0" w:space="0" w:color="auto"/>
        <w:right w:val="none" w:sz="0" w:space="0" w:color="auto"/>
      </w:divBdr>
    </w:div>
    <w:div w:id="1329090902">
      <w:bodyDiv w:val="1"/>
      <w:marLeft w:val="0"/>
      <w:marRight w:val="0"/>
      <w:marTop w:val="0"/>
      <w:marBottom w:val="0"/>
      <w:divBdr>
        <w:top w:val="none" w:sz="0" w:space="0" w:color="auto"/>
        <w:left w:val="none" w:sz="0" w:space="0" w:color="auto"/>
        <w:bottom w:val="none" w:sz="0" w:space="0" w:color="auto"/>
        <w:right w:val="none" w:sz="0" w:space="0" w:color="auto"/>
      </w:divBdr>
    </w:div>
    <w:div w:id="1359354674">
      <w:bodyDiv w:val="1"/>
      <w:marLeft w:val="0"/>
      <w:marRight w:val="0"/>
      <w:marTop w:val="0"/>
      <w:marBottom w:val="0"/>
      <w:divBdr>
        <w:top w:val="none" w:sz="0" w:space="0" w:color="auto"/>
        <w:left w:val="none" w:sz="0" w:space="0" w:color="auto"/>
        <w:bottom w:val="none" w:sz="0" w:space="0" w:color="auto"/>
        <w:right w:val="none" w:sz="0" w:space="0" w:color="auto"/>
      </w:divBdr>
    </w:div>
    <w:div w:id="1385366954">
      <w:bodyDiv w:val="1"/>
      <w:marLeft w:val="0"/>
      <w:marRight w:val="0"/>
      <w:marTop w:val="0"/>
      <w:marBottom w:val="0"/>
      <w:divBdr>
        <w:top w:val="none" w:sz="0" w:space="0" w:color="auto"/>
        <w:left w:val="none" w:sz="0" w:space="0" w:color="auto"/>
        <w:bottom w:val="none" w:sz="0" w:space="0" w:color="auto"/>
        <w:right w:val="none" w:sz="0" w:space="0" w:color="auto"/>
      </w:divBdr>
    </w:div>
    <w:div w:id="1508598643">
      <w:bodyDiv w:val="1"/>
      <w:marLeft w:val="0"/>
      <w:marRight w:val="0"/>
      <w:marTop w:val="0"/>
      <w:marBottom w:val="0"/>
      <w:divBdr>
        <w:top w:val="none" w:sz="0" w:space="0" w:color="auto"/>
        <w:left w:val="none" w:sz="0" w:space="0" w:color="auto"/>
        <w:bottom w:val="none" w:sz="0" w:space="0" w:color="auto"/>
        <w:right w:val="none" w:sz="0" w:space="0" w:color="auto"/>
      </w:divBdr>
    </w:div>
    <w:div w:id="1588153795">
      <w:bodyDiv w:val="1"/>
      <w:marLeft w:val="0"/>
      <w:marRight w:val="0"/>
      <w:marTop w:val="0"/>
      <w:marBottom w:val="0"/>
      <w:divBdr>
        <w:top w:val="none" w:sz="0" w:space="0" w:color="auto"/>
        <w:left w:val="none" w:sz="0" w:space="0" w:color="auto"/>
        <w:bottom w:val="none" w:sz="0" w:space="0" w:color="auto"/>
        <w:right w:val="none" w:sz="0" w:space="0" w:color="auto"/>
      </w:divBdr>
    </w:div>
    <w:div w:id="1590581175">
      <w:bodyDiv w:val="1"/>
      <w:marLeft w:val="0"/>
      <w:marRight w:val="0"/>
      <w:marTop w:val="0"/>
      <w:marBottom w:val="0"/>
      <w:divBdr>
        <w:top w:val="none" w:sz="0" w:space="0" w:color="auto"/>
        <w:left w:val="none" w:sz="0" w:space="0" w:color="auto"/>
        <w:bottom w:val="none" w:sz="0" w:space="0" w:color="auto"/>
        <w:right w:val="none" w:sz="0" w:space="0" w:color="auto"/>
      </w:divBdr>
    </w:div>
    <w:div w:id="1608806742">
      <w:bodyDiv w:val="1"/>
      <w:marLeft w:val="0"/>
      <w:marRight w:val="0"/>
      <w:marTop w:val="0"/>
      <w:marBottom w:val="0"/>
      <w:divBdr>
        <w:top w:val="none" w:sz="0" w:space="0" w:color="auto"/>
        <w:left w:val="none" w:sz="0" w:space="0" w:color="auto"/>
        <w:bottom w:val="none" w:sz="0" w:space="0" w:color="auto"/>
        <w:right w:val="none" w:sz="0" w:space="0" w:color="auto"/>
      </w:divBdr>
    </w:div>
    <w:div w:id="1616979597">
      <w:bodyDiv w:val="1"/>
      <w:marLeft w:val="0"/>
      <w:marRight w:val="0"/>
      <w:marTop w:val="0"/>
      <w:marBottom w:val="0"/>
      <w:divBdr>
        <w:top w:val="none" w:sz="0" w:space="0" w:color="auto"/>
        <w:left w:val="none" w:sz="0" w:space="0" w:color="auto"/>
        <w:bottom w:val="none" w:sz="0" w:space="0" w:color="auto"/>
        <w:right w:val="none" w:sz="0" w:space="0" w:color="auto"/>
      </w:divBdr>
    </w:div>
    <w:div w:id="1720665823">
      <w:bodyDiv w:val="1"/>
      <w:marLeft w:val="0"/>
      <w:marRight w:val="0"/>
      <w:marTop w:val="0"/>
      <w:marBottom w:val="0"/>
      <w:divBdr>
        <w:top w:val="none" w:sz="0" w:space="0" w:color="auto"/>
        <w:left w:val="none" w:sz="0" w:space="0" w:color="auto"/>
        <w:bottom w:val="none" w:sz="0" w:space="0" w:color="auto"/>
        <w:right w:val="none" w:sz="0" w:space="0" w:color="auto"/>
      </w:divBdr>
    </w:div>
    <w:div w:id="1786536865">
      <w:bodyDiv w:val="1"/>
      <w:marLeft w:val="0"/>
      <w:marRight w:val="0"/>
      <w:marTop w:val="0"/>
      <w:marBottom w:val="0"/>
      <w:divBdr>
        <w:top w:val="none" w:sz="0" w:space="0" w:color="auto"/>
        <w:left w:val="none" w:sz="0" w:space="0" w:color="auto"/>
        <w:bottom w:val="none" w:sz="0" w:space="0" w:color="auto"/>
        <w:right w:val="none" w:sz="0" w:space="0" w:color="auto"/>
      </w:divBdr>
    </w:div>
    <w:div w:id="201591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Application>Microsoft Office Word</ap:Application>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description/>
  <revision>10</revision>
  <lastPrinted>1900-01-01T00:00:00.0000000Z</lastPrinted>
  <dcterms:created xsi:type="dcterms:W3CDTF">1900-01-01T00:00:00.0000000Z</dcterms:created>
  <dcterms:modified xsi:type="dcterms:W3CDTF">1900-01-01T00:00:00.0000000Z</dcterms:modified>
</coreProperties>
</file>